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before="80" w:after="80"/>
      </w:pPr>
      <w:r>
        <w:t xml:space="preserve"/>
      </w:r>
    </w:p>
    <w:p>
      <w:pPr>
        <w:spacing w:before="80" w:after="80"/>
      </w:pPr>
      <w:r>
        <w:t xml:space="preserve"/>
      </w:r>
    </w:p>
    <w:p>
      <w:pPr>
        <w:spacing w:before="480" w:after="160"/>
        <w:jc w:val="center"/>
      </w:pPr>
      <w:r>
        <w:rPr>
          <w:rFonts w:ascii="Arial" w:cs="Arial" w:eastAsia="Arial" w:hAnsi="Arial"/>
          <w:b/>
          <w:bCs/>
          <w:color w:val="1F3864"/>
          <w:sz w:val="56"/>
          <w:szCs w:val="56"/>
        </w:rPr>
        <w:t xml:space="preserve">SPARKSISM</w:t>
      </w:r>
    </w:p>
    <w:p>
      <w:pPr>
        <w:spacing w:before="0" w:after="200"/>
        <w:jc w:val="center"/>
      </w:pPr>
      <w:r>
        <w:rPr>
          <w:rFonts w:ascii="Arial" w:cs="Arial" w:eastAsia="Arial" w:hAnsi="Arial"/>
          <w:i/>
          <w:iCs/>
          <w:color w:val="2E5090"/>
          <w:sz w:val="26"/>
          <w:szCs w:val="26"/>
        </w:rPr>
        <w:t xml:space="preserve">A Dual-Track Systems Framework for Adaptive Political Economy</w:t>
      </w:r>
    </w:p>
    <w:p>
      <w:pPr>
        <w:spacing w:before="80" w:after="80"/>
      </w:pPr>
      <w:r>
        <w:t xml:space="preserve"/>
      </w:r>
    </w:p>
    <w:p>
      <w:pPr>
        <w:spacing w:before="80" w:after="80"/>
        <w:jc w:val="center"/>
      </w:pPr>
      <w:r>
        <w:rPr>
          <w:rFonts w:ascii="Arial" w:cs="Arial" w:eastAsia="Arial" w:hAnsi="Arial"/>
          <w:b/>
          <w:bCs/>
          <w:sz w:val="24"/>
          <w:szCs w:val="24"/>
        </w:rPr>
        <w:t xml:space="preserve">Hal Sparks</w:t>
      </w:r>
    </w:p>
    <w:p>
      <w:pPr>
        <w:spacing w:before="80" w:after="80"/>
        <w:jc w:val="center"/>
      </w:pPr>
      <w:r>
        <w:rPr>
          <w:rFonts w:ascii="Arial" w:cs="Arial" w:eastAsia="Arial" w:hAnsi="Arial"/>
          <w:i/>
          <w:iCs/>
          <w:color w:val="666666"/>
          <w:sz w:val="22"/>
          <w:szCs w:val="22"/>
        </w:rPr>
        <w:t xml:space="preserve">Independent Researcher</w:t>
      </w:r>
    </w:p>
    <w:p>
      <w:pPr>
        <w:spacing w:before="80" w:after="400"/>
        <w:jc w:val="center"/>
      </w:pPr>
      <w:r>
        <w:rPr>
          <w:rFonts w:ascii="Arial" w:cs="Arial" w:eastAsia="Arial" w:hAnsi="Arial"/>
          <w:color w:val="666666"/>
          <w:sz w:val="22"/>
          <w:szCs w:val="22"/>
        </w:rPr>
        <w:t xml:space="preserve">February 2026</w:t>
      </w:r>
    </w:p>
    <w:p>
      <w:pPr>
        <w:pBdr>
          <w:bottom w:val="single" w:color="CCCCCC" w:sz="6" w:space="1"/>
        </w:pBdr>
        <w:spacing w:before="200" w:after="200"/>
      </w:pPr>
      <w:r>
        <w:t xml:space="preserve"/>
      </w:r>
    </w:p>
    <w:p>
      <w:pPr>
        <w:pStyle w:val="Heading1"/>
        <w:spacing w:before="400" w:after="200"/>
      </w:pPr>
      <w:r>
        <w:rPr>
          <w:rFonts w:ascii="Arial" w:cs="Arial" w:eastAsia="Arial" w:hAnsi="Arial"/>
          <w:b/>
          <w:bCs/>
          <w:color w:val="1F3864"/>
          <w:sz w:val="28"/>
          <w:szCs w:val="28"/>
        </w:rPr>
        <w:t xml:space="preserve">Abstract</w:t>
      </w:r>
    </w:p>
    <w:p>
      <w:pPr>
        <w:spacing w:before="140" w:after="140" w:line="360"/>
        <w:jc w:val="both"/>
      </w:pPr>
      <w:r>
        <w:rPr>
          <w:rFonts w:ascii="Arial" w:cs="Arial" w:eastAsia="Arial" w:hAnsi="Arial"/>
          <w:sz w:val="24"/>
          <w:szCs w:val="24"/>
        </w:rPr>
        <w:t xml:space="preserve">This paper introduces Sparksism, a political economy systems framework that models complex societies as dual-track coordination architectures composed of (1) decentralized private generative activity and (2) institutional coordination and scaling. Rather than treating markets, governance regimes, and innovation systems as analytically separable domains, the framework proposes that adaptive stability emerges from the interdependent operation of these two tracks within a dynamically negotiated boundary — termed the Economic Demilitarized Zone, or DMZ (developed in Section 4) — whose position shifts in response to environmental, technological, and material conditions.</w:t>
      </w:r>
    </w:p>
    <w:p>
      <w:pPr>
        <w:spacing w:before="140" w:after="140" w:line="360"/>
        <w:jc w:val="both"/>
      </w:pPr>
      <w:r>
        <w:rPr>
          <w:rFonts w:ascii="Arial" w:cs="Arial" w:eastAsia="Arial" w:hAnsi="Arial"/>
          <w:sz w:val="24"/>
          <w:szCs w:val="24"/>
        </w:rPr>
        <w:t xml:space="preserve">The paper advances three central claims. First, innovation originates through decentralized variation within the private track but achieves systemic impact only through institutional scaling — the two tracks operate in series rather than in opposition. Second, allocation between private and institutional domains is neither fixed nor ideologically determined, but shifts continuously in response to shocks, technological change, scale pressures, and resource scarcity. Third, democratic governance functions as a transaction-cost-reducing protocol for renegotiating this boundary, and its structural advantages in this role explain its recurrence as a coordination mechanism across otherwise dissimilar societies.</w:t>
      </w:r>
    </w:p>
    <w:p>
      <w:pPr>
        <w:spacing w:before="140" w:after="140" w:line="360"/>
        <w:jc w:val="both"/>
      </w:pPr>
      <w:r>
        <w:rPr>
          <w:rFonts w:ascii="Arial" w:cs="Arial" w:eastAsia="Arial" w:hAnsi="Arial"/>
          <w:sz w:val="24"/>
          <w:szCs w:val="24"/>
        </w:rPr>
        <w:t xml:space="preserve">A formal model is presented alongside derived hypotheses, empirical illustrations, and explicit conditions for falsification. Sparksism integrates institutional economics, innovation theory, and democratic governance scholarship into a unified systems-level framework. It is offered as a structural analytic lens for evaluating coordination stability rather than as a prescriptive political doctrine.</w:t>
      </w:r>
    </w:p>
    <w:p>
      <w:pPr>
        <w:pBdr>
          <w:bottom w:val="single" w:color="CCCCCC" w:sz="6" w:space="1"/>
        </w:pBdr>
        <w:spacing w:before="200" w:after="200"/>
      </w:pPr>
      <w:r>
        <w:t xml:space="preserve"/>
      </w:r>
    </w:p>
    <w:p>
      <w:pPr>
        <w:pStyle w:val="Heading1"/>
        <w:spacing w:before="400" w:after="200"/>
      </w:pPr>
      <w:r>
        <w:rPr>
          <w:rFonts w:ascii="Arial" w:cs="Arial" w:eastAsia="Arial" w:hAnsi="Arial"/>
          <w:b/>
          <w:bCs/>
          <w:color w:val="1F3864"/>
          <w:sz w:val="28"/>
          <w:szCs w:val="28"/>
        </w:rPr>
        <w:t xml:space="preserve">1. Introduction</w:t>
      </w:r>
    </w:p>
    <w:p>
      <w:pPr>
        <w:spacing w:before="140" w:after="140" w:line="360"/>
        <w:jc w:val="both"/>
      </w:pPr>
      <w:r>
        <w:rPr>
          <w:rFonts w:ascii="Arial" w:cs="Arial" w:eastAsia="Arial" w:hAnsi="Arial"/>
          <w:sz w:val="24"/>
          <w:szCs w:val="24"/>
        </w:rPr>
        <w:t xml:space="preserve">What political economy has long treated as a contest — markets versus states, private initiative versus collective provision, decentralization versus coordination — may be better understood as a system. Not a system in equilibrium, and not one that resolves toward a fixed ideal, but a living dual-track architecture that has recurred, in recognizable form, across the full span of documented human civilization.</w:t>
      </w:r>
    </w:p>
    <w:p>
      <w:pPr>
        <w:spacing w:before="140" w:after="140" w:line="360"/>
        <w:jc w:val="both"/>
      </w:pPr>
      <w:r>
        <w:rPr>
          <w:rFonts w:ascii="Arial" w:cs="Arial" w:eastAsia="Arial" w:hAnsi="Arial"/>
          <w:sz w:val="24"/>
          <w:szCs w:val="24"/>
        </w:rPr>
        <w:t xml:space="preserve">The observation at the core of Sparksism is not itself new. Economists from Adam Smith to Douglass North to Elinor Ostrom have noted that functioning economies combine private initiative with institutional infrastructure. What has been less fully theorized is the structural relationship between these two modes — the ways in which they depend on each other, the dynamic boundary that separates them, and the governance mechanisms through which that boundary is renegotiated as conditions change.</w:t>
      </w:r>
    </w:p>
    <w:p>
      <w:pPr>
        <w:spacing w:before="140" w:after="140" w:line="360"/>
        <w:jc w:val="both"/>
      </w:pPr>
      <w:r>
        <w:rPr>
          <w:rFonts w:ascii="Arial" w:cs="Arial" w:eastAsia="Arial" w:hAnsi="Arial"/>
          <w:sz w:val="24"/>
          <w:szCs w:val="24"/>
        </w:rPr>
        <w:t xml:space="preserve">Sparksism formalizes this observation. It proposes that decentralized private activity and institutional coordination are not ideological alternatives but reciprocally dependent subsystems within a single adaptive architecture — and that the stability, innovation capacity, and resilience of any complex society depends on the maintenance of both, connected by a negotiated and shifting interface.</w:t>
      </w:r>
    </w:p>
    <w:p>
      <w:pPr>
        <w:spacing w:before="140" w:after="140" w:line="360"/>
        <w:jc w:val="both"/>
      </w:pPr>
      <w:r>
        <w:rPr>
          <w:rFonts w:ascii="Arial" w:cs="Arial" w:eastAsia="Arial" w:hAnsi="Arial"/>
          <w:sz w:val="24"/>
          <w:szCs w:val="24"/>
        </w:rPr>
        <w:t xml:space="preserve">The framework has three structural components: a dual-track model of coordination, a dynamic boundary termed the Economic Demilitarized Zone, and a theory of democratic governance as the most efficient protocol yet developed for managing that boundary. Each component reflects a pattern observable in the historical record rather than a normative preference.</w:t>
      </w:r>
    </w:p>
    <w:p>
      <w:pPr>
        <w:spacing w:before="140" w:after="140" w:line="360"/>
        <w:jc w:val="both"/>
      </w:pPr>
      <w:r>
        <w:rPr>
          <w:rFonts w:ascii="Arial" w:cs="Arial" w:eastAsia="Arial" w:hAnsi="Arial"/>
          <w:sz w:val="24"/>
          <w:szCs w:val="24"/>
        </w:rPr>
        <w:t xml:space="preserve">This paper proceeds as follows. Section 2 situates the framework within existing literature. Sections 3 through 6 develop the core theoretical apparatus. Section 7 presents a formal illustration of the system dynamics. Section 8 provides empirical reference points. Section 9 states explicit conditions for falsification. Section 10 acknowledges limitations. Section 11 concludes.</w:t>
      </w:r>
    </w:p>
    <w:p>
      <w:pPr>
        <w:spacing w:before="80" w:after="80"/>
      </w:pPr>
      <w:r>
        <w:t xml:space="preserve"/>
      </w:r>
    </w:p>
    <w:p>
      <w:pPr>
        <w:pStyle w:val="Heading1"/>
        <w:spacing w:before="400" w:after="200"/>
      </w:pPr>
      <w:r>
        <w:rPr>
          <w:rFonts w:ascii="Arial" w:cs="Arial" w:eastAsia="Arial" w:hAnsi="Arial"/>
          <w:b/>
          <w:bCs/>
          <w:color w:val="1F3864"/>
          <w:sz w:val="28"/>
          <w:szCs w:val="28"/>
        </w:rPr>
        <w:t xml:space="preserve">2. Relation to Existing Literature</w:t>
      </w:r>
    </w:p>
    <w:p>
      <w:pPr>
        <w:spacing w:before="140" w:after="140" w:line="360"/>
        <w:jc w:val="both"/>
      </w:pPr>
      <w:r>
        <w:rPr>
          <w:rFonts w:ascii="Arial" w:cs="Arial" w:eastAsia="Arial" w:hAnsi="Arial"/>
          <w:sz w:val="24"/>
          <w:szCs w:val="24"/>
        </w:rPr>
        <w:t xml:space="preserve">Sparksism synthesizes and extends several established traditions without being fully reducible to any of them.</w:t>
      </w:r>
    </w:p>
    <w:p>
      <w:pPr>
        <w:spacing w:before="140" w:after="140" w:line="360"/>
        <w:jc w:val="both"/>
      </w:pPr>
      <w:r>
        <w:rPr>
          <w:rFonts w:ascii="Arial" w:cs="Arial" w:eastAsia="Arial" w:hAnsi="Arial"/>
          <w:sz w:val="24"/>
          <w:szCs w:val="24"/>
        </w:rPr>
        <w:t xml:space="preserve">Comparative capitalisms scholarship has done substantial work identifying institutional variation within market economies and mapping the complementarities that make different configurations internally coherent (Hall &amp; Soskice, 2001). Liberal market economies and coordinated market economies are recognized as distinct stable configurations rather than points on a spectrum between purity and deviation. Sparksism accepts this finding but proposes a different analytical frame: rather than classifying regime types, it models the boundary between decentralized and coordinated domains as a dynamic variable and asks what determines its position over time.</w:t>
      </w:r>
    </w:p>
    <w:p>
      <w:pPr>
        <w:spacing w:before="140" w:after="140" w:line="360"/>
        <w:jc w:val="both"/>
      </w:pPr>
      <w:r>
        <w:rPr>
          <w:rFonts w:ascii="Arial" w:cs="Arial" w:eastAsia="Arial" w:hAnsi="Arial"/>
          <w:sz w:val="24"/>
          <w:szCs w:val="24"/>
        </w:rPr>
        <w:t xml:space="preserve">Institutional economics establishes that governance structures shape transaction costs and, through them, long-run economic performance (North, 1990; Williamson, 1985). This tradition illuminates the importance of institutions without fully theorizing their reciprocal relationship with the decentralized activity that generates the variation institutions must eventually process. Sparksism treats this reciprocity as the central analytical object.</w:t>
      </w:r>
    </w:p>
    <w:p>
      <w:pPr>
        <w:spacing w:before="140" w:after="140" w:line="360"/>
        <w:jc w:val="both"/>
      </w:pPr>
      <w:r>
        <w:rPr>
          <w:rFonts w:ascii="Arial" w:cs="Arial" w:eastAsia="Arial" w:hAnsi="Arial"/>
          <w:sz w:val="24"/>
          <w:szCs w:val="24"/>
        </w:rPr>
        <w:t xml:space="preserve">Ostrom's (1990, 2005) foundational work on commons governance demonstrates that collective resource management can outperform both privatization and centralized command under the right contextual conditions — a finding that itself implies context-dependence rather than universal prescription. Sparksism generalizes this insight: the appropriate allocation between private and institutional modes is always conditional, and the conditions that determine it shift continuously.</w:t>
      </w:r>
    </w:p>
    <w:p>
      <w:pPr>
        <w:spacing w:before="140" w:after="140" w:line="360"/>
        <w:jc w:val="both"/>
      </w:pPr>
      <w:r>
        <w:rPr>
          <w:rFonts w:ascii="Arial" w:cs="Arial" w:eastAsia="Arial" w:hAnsi="Arial"/>
          <w:sz w:val="24"/>
          <w:szCs w:val="24"/>
        </w:rPr>
        <w:t xml:space="preserve">Innovation theory, particularly the evolutionary approach of Nelson and Winter (1982), emphasizes decentralized variation as the engine of technological change. Hayek's (1945) argument that dispersed knowledge cannot be efficiently aggregated by central planners provides a micro-level foundation for the private track's generative function. Path dependence scholarship (Arthur, 1994, 2009) further demonstrates that what appears as sudden technological breakthrough typically reflects accumulated substrate crossing implementation thresholds — a concept central to the framework's treatment of stabilization and technological acceleration.</w:t>
      </w:r>
    </w:p>
    <w:p>
      <w:pPr>
        <w:spacing w:before="140" w:after="140" w:line="360"/>
        <w:jc w:val="both"/>
      </w:pPr>
      <w:r>
        <w:rPr>
          <w:rFonts w:ascii="Arial" w:cs="Arial" w:eastAsia="Arial" w:hAnsi="Arial"/>
          <w:sz w:val="24"/>
          <w:szCs w:val="24"/>
        </w:rPr>
        <w:t xml:space="preserve">Democratic theory, particularly the institutionalist work of Dahl (1989) and the comparative political economy of Acemoglu and Robinson (2012), grounds the framework's treatment of democratic governance as a coordination mechanism rather than merely a moral ideal.</w:t>
      </w:r>
    </w:p>
    <w:p>
      <w:pPr>
        <w:spacing w:before="140" w:after="140" w:line="360"/>
        <w:jc w:val="both"/>
      </w:pPr>
      <w:r>
        <w:rPr>
          <w:rFonts w:ascii="Arial" w:cs="Arial" w:eastAsia="Arial" w:hAnsi="Arial"/>
          <w:sz w:val="24"/>
          <w:szCs w:val="24"/>
        </w:rPr>
        <w:t xml:space="preserve">Sparksism's contribution lies in formalizing the interdependence among these partially overlapping literatures within a unified dual-track architecture — treating decentralized variation and institutional scaling not as separate objects of analysis but as the two essential subsystems of a single adaptive system.</w:t>
      </w:r>
    </w:p>
    <w:p>
      <w:pPr>
        <w:spacing w:before="80" w:after="80"/>
      </w:pPr>
      <w:r>
        <w:t xml:space="preserve"/>
      </w:r>
    </w:p>
    <w:p>
      <w:pPr>
        <w:pStyle w:val="Heading1"/>
        <w:spacing w:before="400" w:after="200"/>
      </w:pPr>
      <w:r>
        <w:rPr>
          <w:rFonts w:ascii="Arial" w:cs="Arial" w:eastAsia="Arial" w:hAnsi="Arial"/>
          <w:b/>
          <w:bCs/>
          <w:color w:val="1F3864"/>
          <w:sz w:val="28"/>
          <w:szCs w:val="28"/>
        </w:rPr>
        <w:t xml:space="preserve">3. Conceptual Framework</w:t>
      </w:r>
    </w:p>
    <w:p>
      <w:pPr>
        <w:pStyle w:val="Heading2"/>
        <w:spacing w:before="280" w:after="140"/>
      </w:pPr>
      <w:r>
        <w:rPr>
          <w:rFonts w:ascii="Arial" w:cs="Arial" w:eastAsia="Arial" w:hAnsi="Arial"/>
          <w:b/>
          <w:bCs/>
          <w:i/>
          <w:iCs/>
          <w:color w:val="2E5090"/>
          <w:sz w:val="25"/>
          <w:szCs w:val="25"/>
        </w:rPr>
        <w:t xml:space="preserve">3.1 The Private Track</w:t>
      </w:r>
    </w:p>
    <w:p>
      <w:pPr>
        <w:spacing w:before="140" w:after="140" w:line="360"/>
        <w:jc w:val="both"/>
      </w:pPr>
      <w:r>
        <w:rPr>
          <w:rFonts w:ascii="Arial" w:cs="Arial" w:eastAsia="Arial" w:hAnsi="Arial"/>
          <w:sz w:val="24"/>
          <w:szCs w:val="24"/>
        </w:rPr>
        <w:t xml:space="preserve">The private track consists of decentralized initiative: entrepreneurial activity, hypothesis formation, localized experimentation, creative recombination, and differentiated risk-taking. The term "private" is used in a structural rather than normative sense. It denotes generative activity occurring at identifiable nodes within a system — individual actors, firms, small collaborating groups — and carries no implication about ownership arrangements or political preference.[1]</w:t>
      </w:r>
    </w:p>
    <w:p>
      <w:pPr>
        <w:spacing w:before="140" w:after="140" w:line="360"/>
        <w:jc w:val="both"/>
      </w:pPr>
      <w:r>
        <w:rPr>
          <w:rFonts w:ascii="Arial" w:cs="Arial" w:eastAsia="Arial" w:hAnsi="Arial"/>
          <w:sz w:val="24"/>
          <w:szCs w:val="24"/>
        </w:rPr>
        <w:t xml:space="preserve">The defining characteristic of the private track is its capacity for novel recognition: perceiving a possibility that the larger system has not yet named. This capacity is structurally individual. A group can deliberate only about possibilities that at least one of its members has already perceived; the generative moment itself cannot be produced by committee. This is not a moral argument for individualism — it is a claim about the epistemology of novelty. Suppressing decentralized initiative does not eliminate the need for new ideas; it narrows the system's adaptive search space, reducing its capacity to respond to conditions it has not previously encountered (Hayek, 1945; Nelson &amp; Winter, 1982).</w:t>
      </w:r>
    </w:p>
    <w:p>
      <w:pPr>
        <w:pStyle w:val="Heading2"/>
        <w:spacing w:before="280" w:after="140"/>
      </w:pPr>
      <w:r>
        <w:rPr>
          <w:rFonts w:ascii="Arial" w:cs="Arial" w:eastAsia="Arial" w:hAnsi="Arial"/>
          <w:b/>
          <w:bCs/>
          <w:i/>
          <w:iCs/>
          <w:color w:val="2E5090"/>
          <w:sz w:val="25"/>
          <w:szCs w:val="25"/>
        </w:rPr>
        <w:t xml:space="preserve">3.2 The Institutional Track</w:t>
      </w:r>
    </w:p>
    <w:p>
      <w:pPr>
        <w:spacing w:before="140" w:after="140" w:line="360"/>
        <w:jc w:val="both"/>
      </w:pPr>
      <w:r>
        <w:rPr>
          <w:rFonts w:ascii="Arial" w:cs="Arial" w:eastAsia="Arial" w:hAnsi="Arial"/>
          <w:sz w:val="24"/>
          <w:szCs w:val="24"/>
        </w:rPr>
        <w:t xml:space="preserve">The institutional track consists of coordinated, rule-governed, or infrastructure-providing arrangements that operate beyond individual initiative. The term "institutional" is used broadly: it encompasses legal systems, regulatory frameworks, public research funding, defense arrangements, corporate governance structures, professional standards bodies, and the informal norm-enforcing mechanisms that function across all of these.[2]</w:t>
      </w:r>
    </w:p>
    <w:p>
      <w:pPr>
        <w:spacing w:before="140" w:after="140" w:line="360"/>
        <w:jc w:val="both"/>
      </w:pPr>
      <w:r>
        <w:rPr>
          <w:rFonts w:ascii="Arial" w:cs="Arial" w:eastAsia="Arial" w:hAnsi="Arial"/>
          <w:sz w:val="24"/>
          <w:szCs w:val="24"/>
        </w:rPr>
        <w:t xml:space="preserve">Institutions perform three essential functions within the system. They select among competing variations by codifying those that prove sufficiently valuable. They stabilize outcomes by reducing coordination costs and establishing durable expectations. And they scale — making the products of individual origination universally accessible rather than locally available. A privately invented technology becomes transformative only when institutional infrastructure exists to distribute, regulate, and sustain it (North, 1990; Ostrom, 1990; Williamson, 1985).</w:t>
      </w:r>
    </w:p>
    <w:p>
      <w:pPr>
        <w:pStyle w:val="Heading2"/>
        <w:spacing w:before="280" w:after="140"/>
      </w:pPr>
      <w:r>
        <w:rPr>
          <w:rFonts w:ascii="Arial" w:cs="Arial" w:eastAsia="Arial" w:hAnsi="Arial"/>
          <w:b/>
          <w:bCs/>
          <w:i/>
          <w:iCs/>
          <w:color w:val="2E5090"/>
          <w:sz w:val="25"/>
          <w:szCs w:val="25"/>
        </w:rPr>
        <w:t xml:space="preserve">3.3 Tracks in Series: The Innovation Pipeline</w:t>
      </w:r>
    </w:p>
    <w:p>
      <w:pPr>
        <w:spacing w:before="140" w:after="140" w:line="360"/>
        <w:jc w:val="both"/>
      </w:pPr>
      <w:r>
        <w:rPr>
          <w:rFonts w:ascii="Arial" w:cs="Arial" w:eastAsia="Arial" w:hAnsi="Arial"/>
          <w:sz w:val="24"/>
          <w:szCs w:val="24"/>
        </w:rPr>
        <w:t xml:space="preserve">The most consequential structural claim of Sparksism is that the private and institutional tracks do not compete for the same function — they perform different and sequential functions within a single pipeline:</w:t>
      </w:r>
    </w:p>
    <w:p>
      <w:pPr>
        <w:spacing w:before="140" w:after="140" w:line="360"/>
        <w:ind w:left="720"/>
        <w:jc w:val="both"/>
      </w:pPr>
      <w:r>
        <w:rPr>
          <w:rFonts w:ascii="Arial" w:cs="Arial" w:eastAsia="Arial" w:hAnsi="Arial"/>
          <w:i/>
          <w:iCs/>
          <w:sz w:val="24"/>
          <w:szCs w:val="24"/>
        </w:rPr>
        <w:t xml:space="preserve">Individual Origination → Diffusion → Institutionalization → Universalization</w:t>
      </w:r>
    </w:p>
    <w:p>
      <w:pPr>
        <w:spacing w:before="140" w:after="140" w:line="360"/>
        <w:jc w:val="both"/>
      </w:pPr>
      <w:r>
        <w:rPr>
          <w:rFonts w:ascii="Arial" w:cs="Arial" w:eastAsia="Arial" w:hAnsi="Arial"/>
          <w:sz w:val="24"/>
          <w:szCs w:val="24"/>
        </w:rPr>
        <w:t xml:space="preserve">Innovation emerges through decentralized variation but achieves systemic impact only through institutional scaling. The interaction between tracks is therefore multiplicative rather than additive: a system rich in private variation but lacking institutional scaling capacity generates ideas that remain local and fragile. A system with robust institutional infrastructure but suppressed private variation executes efficiently on known problems while losing the capacity to generate solutions to problems it has not yet encountered.</w:t>
      </w:r>
    </w:p>
    <w:p>
      <w:pPr>
        <w:spacing w:before="140" w:after="140" w:line="360"/>
        <w:jc w:val="both"/>
      </w:pPr>
      <w:r>
        <w:rPr>
          <w:rFonts w:ascii="Arial" w:cs="Arial" w:eastAsia="Arial" w:hAnsi="Arial"/>
          <w:sz w:val="24"/>
          <w:szCs w:val="24"/>
        </w:rPr>
        <w:t xml:space="preserve">The historical evidence for this sequential pattern is extensive and cross-cultural. Mesopotamian irrigation infrastructure scaled individual agricultural innovations to civilizational consequence. The Roman legal system institutionalized commercial practices that had originated in private merchant activity across the Mediterranean. The internet, originating in publicly funded defense research, became the substrate on which private innovation achieved previously unimaginable scale. In each case, the sequence is the same: individual or small-group origination, market or cultural diffusion, institutional codification, universal adoption. The pipeline runs in one direction.</w:t>
      </w:r>
    </w:p>
    <w:p>
      <w:pPr>
        <w:spacing w:before="140" w:after="140" w:line="360"/>
        <w:jc w:val="both"/>
      </w:pPr>
      <w:r>
        <w:rPr>
          <w:rFonts w:ascii="Arial" w:cs="Arial" w:eastAsia="Arial" w:hAnsi="Arial"/>
          <w:sz w:val="24"/>
          <w:szCs w:val="24"/>
        </w:rPr>
        <w:t xml:space="preserve">This understanding reframes a common political argument. The debate between advocates of private initiative and advocates of collective provision is often conducted as though one track could replace the other. Sparksism treats this as a structural error: suppressing either end of the pipeline does not strengthen the remaining end, it breaks the system. The question is never which track to preserve but how to maintain both under changing conditions.</w:t>
      </w:r>
    </w:p>
    <w:p>
      <w:pPr>
        <w:spacing w:before="80" w:after="80"/>
      </w:pPr>
      <w:r>
        <w:t xml:space="preserve"/>
      </w:r>
    </w:p>
    <w:p>
      <w:pPr>
        <w:pStyle w:val="Heading1"/>
        <w:spacing w:before="400" w:after="200"/>
      </w:pPr>
      <w:r>
        <w:rPr>
          <w:rFonts w:ascii="Arial" w:cs="Arial" w:eastAsia="Arial" w:hAnsi="Arial"/>
          <w:b/>
          <w:bCs/>
          <w:color w:val="1F3864"/>
          <w:sz w:val="28"/>
          <w:szCs w:val="28"/>
        </w:rPr>
        <w:t xml:space="preserve">4. The Economic Demilitarized Zone (DMZ)</w:t>
      </w:r>
    </w:p>
    <w:p>
      <w:pPr>
        <w:spacing w:before="140" w:after="140" w:line="360"/>
        <w:jc w:val="both"/>
      </w:pPr>
      <w:r>
        <w:rPr>
          <w:rFonts w:ascii="Arial" w:cs="Arial" w:eastAsia="Arial" w:hAnsi="Arial"/>
          <w:sz w:val="24"/>
          <w:szCs w:val="24"/>
        </w:rPr>
        <w:t xml:space="preserve">Between the two tracks lies what this framework terms the Economic Demilitarized Zone — the domain of activities whose allocation between private and institutional governance is genuinely contested and legitimately variable. The term is deliberate. Like its geopolitical counterpart, the Economic DMZ is not a resolution of conflict but a structured acknowledgment that a negotiated boundary is preferable to continuous warfare over the same terrain.</w:t>
      </w:r>
    </w:p>
    <w:p>
      <w:pPr>
        <w:spacing w:before="140" w:after="140" w:line="360"/>
        <w:jc w:val="both"/>
      </w:pPr>
      <w:r>
        <w:rPr>
          <w:rFonts w:ascii="Arial" w:cs="Arial" w:eastAsia="Arial" w:hAnsi="Arial"/>
          <w:sz w:val="24"/>
          <w:szCs w:val="24"/>
        </w:rPr>
        <w:t xml:space="preserve">Healthcare systems, educational models, infrastructure development, energy regulation, financial market oversight, and emerging technology governance all frequently reside within this zone. Their position is not fixed. The same activity may be privately managed in one era and publicly administered in another, not because one configuration is ideologically correct but because the conditions that determine the appropriate allocation have shifted.</w:t>
      </w:r>
    </w:p>
    <w:p>
      <w:pPr>
        <w:spacing w:before="140" w:after="140" w:line="360"/>
        <w:jc w:val="both"/>
      </w:pPr>
      <w:r>
        <w:rPr>
          <w:rFonts w:ascii="Arial" w:cs="Arial" w:eastAsia="Arial" w:hAnsi="Arial"/>
          <w:sz w:val="24"/>
          <w:szCs w:val="24"/>
        </w:rPr>
        <w:t xml:space="preserve">Four categories of pressure consistently move the DMZ boundary. Environmental shocks — pandemics, climate disruptions, resource collapses — tend to expand institutional allocation, because the coordination failures of purely private responses become visible and costly. Resource scarcity exerts similar pressure: when a previously abundant input becomes constrained, the collective claim on its management intensifies. Population scale increases coordination complexity in ways that eventually require institutional rather than market solutions — a village manages water distribution through informal custom, a city of millions requires bureaucratic infrastructure, not because bureaucracy is superior but because the arithmetic of scale demands it. Technological transformation shifts the boundary in less predictable directions, sometimes privatizing what was once a collective monopoly (the printing press against the Church's control of textual reproduction), sometimes collectivizing what was once privately managed (telecommunications infrastructure, electrical grids).</w:t>
      </w:r>
    </w:p>
    <w:p>
      <w:pPr>
        <w:spacing w:before="140" w:after="140" w:line="360"/>
        <w:jc w:val="both"/>
      </w:pPr>
      <w:r>
        <w:rPr>
          <w:rFonts w:ascii="Arial" w:cs="Arial" w:eastAsia="Arial" w:hAnsi="Arial"/>
          <w:sz w:val="24"/>
          <w:szCs w:val="24"/>
        </w:rPr>
        <w:t xml:space="preserve">These pressures do not operate independently. A technological shift may relieve one form of scarcity while creating another; a population shock may simultaneously increase scale and environmental pressure. The DMZ responds to their interaction, not to any single driver in isolation.</w:t>
      </w:r>
    </w:p>
    <w:p>
      <w:pPr>
        <w:spacing w:before="140" w:after="140" w:line="360"/>
        <w:jc w:val="both"/>
      </w:pPr>
      <w:r>
        <w:rPr>
          <w:rFonts w:ascii="Arial" w:cs="Arial" w:eastAsia="Arial" w:hAnsi="Arial"/>
          <w:sz w:val="24"/>
          <w:szCs w:val="24"/>
        </w:rPr>
        <w:t xml:space="preserve">The DMZ is not a compromise between ideological positions. It is a dynamic system parameter — a variable whose value at any moment reflects the accumulated pressure of structural conditions rather than the preferences of any particular political coalition. Political coalitions argue about the DMZ constantly, but their arguments are themselves responses to underlying structural conditions they did not choose. The framework treats this competitive pressure on the DMZ as natural and productive: the contest over boundary placement is one of the mechanisms through which the system calibrates itself to changing conditions.</w:t>
      </w:r>
    </w:p>
    <w:p>
      <w:pPr>
        <w:spacing w:before="80" w:after="80"/>
      </w:pPr>
      <w:r>
        <w:t xml:space="preserve"/>
      </w:r>
    </w:p>
    <w:p>
      <w:pPr>
        <w:pStyle w:val="Heading1"/>
        <w:spacing w:before="400" w:after="200"/>
      </w:pPr>
      <w:r>
        <w:rPr>
          <w:rFonts w:ascii="Arial" w:cs="Arial" w:eastAsia="Arial" w:hAnsi="Arial"/>
          <w:b/>
          <w:bCs/>
          <w:color w:val="1F3864"/>
          <w:sz w:val="28"/>
          <w:szCs w:val="28"/>
        </w:rPr>
        <w:t xml:space="preserve">5. Democracy as Negotiation Protocol</w:t>
      </w:r>
    </w:p>
    <w:p>
      <w:pPr>
        <w:spacing w:before="140" w:after="140" w:line="360"/>
        <w:jc w:val="both"/>
      </w:pPr>
      <w:r>
        <w:rPr>
          <w:rFonts w:ascii="Arial" w:cs="Arial" w:eastAsia="Arial" w:hAnsi="Arial"/>
          <w:sz w:val="24"/>
          <w:szCs w:val="24"/>
        </w:rPr>
        <w:t xml:space="preserve">If the Economic DMZ is continuously renegotiated in response to shifting structural conditions, then the mechanism through which that renegotiation occurs matters enormously. A poorly designed mechanism can consume more resources in the boundary dispute than either track could have generated — the overhead of the negotiation exceeding the value of the territory being negotiated over.</w:t>
      </w:r>
    </w:p>
    <w:p>
      <w:pPr>
        <w:spacing w:before="140" w:after="140" w:line="360"/>
        <w:jc w:val="both"/>
      </w:pPr>
      <w:r>
        <w:rPr>
          <w:rFonts w:ascii="Arial" w:cs="Arial" w:eastAsia="Arial" w:hAnsi="Arial"/>
          <w:sz w:val="24"/>
          <w:szCs w:val="24"/>
        </w:rPr>
        <w:t xml:space="preserve">Historically, this overhead has often been catastrophic. Royal succession, aristocratic competition, and interstate war have all functioned as mechanisms for reallocating control over the DMZ boundary — for determining who taxes what, who monopolizes which activities, and which initiatives receive state support. These mechanisms were expensive: they required the destruction of productive capacity to move the line, and since the line would need moving again as conditions continued to change, the destruction was not even permanent. A war over trade routes is, in structural terms, a violent renegotiation of where the private commercial track ends and the collective strategic interest begins — conducted at enormous cost for a settlement that rarely survives unchanged past the next generation.</w:t>
      </w:r>
    </w:p>
    <w:p>
      <w:pPr>
        <w:spacing w:before="140" w:after="140" w:line="360"/>
        <w:jc w:val="both"/>
      </w:pPr>
      <w:r>
        <w:rPr>
          <w:rFonts w:ascii="Arial" w:cs="Arial" w:eastAsia="Arial" w:hAnsi="Arial"/>
          <w:sz w:val="24"/>
          <w:szCs w:val="24"/>
        </w:rPr>
        <w:t xml:space="preserve">Democratic governance reduces this overhead by institutionalizing contestation. The boundary renegotiation occurs through speech and deliberation rather than through the destruction of productive capacity. Elections, legislation, judicial review, and regulatory process accomplish the same reallocation that previously required armies — not perfectly, not without cost, and not without lag, but at a fraction of the systemic price. This efficiency advantage is structural rather than moral. It does not depend on any claim that democratic outcomes are more just than authoritarian ones; it depends only on the observation that lower-cost renegotiation mechanisms allow the system to calibrate more responsively to changing conditions without accumulating the adaptive debt that eventually forces a crisis.</w:t>
      </w:r>
    </w:p>
    <w:p>
      <w:pPr>
        <w:spacing w:before="140" w:after="140" w:line="360"/>
        <w:jc w:val="both"/>
      </w:pPr>
      <w:r>
        <w:rPr>
          <w:rFonts w:ascii="Arial" w:cs="Arial" w:eastAsia="Arial" w:hAnsi="Arial"/>
          <w:sz w:val="24"/>
          <w:szCs w:val="24"/>
        </w:rPr>
        <w:t xml:space="preserve">Democratic systems also maintain superior information processing capacity for DMZ calibration. By distributing input across a broad population, democratic deliberation aggregates dispersed knowledge about local conditions, emerging needs, and the practical consequences of existing allocations — knowledge that is structurally unavailable to centralized decision-makers (Hayek, 1945; Ostrom, 1990). This information advantage is not unlimited; democratic processes are subject to manipulation, short-termism, and collective action failures. But the structural alternative — relying on a small set of centralized decision-makers to know what they cannot know — produces systematic miscalibration as conditions diverge from those the central planners were equipped to address (Acemoglu &amp; Robinson, 2012; Dahl, 1989).</w:t>
      </w:r>
    </w:p>
    <w:p>
      <w:pPr>
        <w:spacing w:before="140" w:after="140" w:line="360"/>
        <w:jc w:val="both"/>
      </w:pPr>
      <w:r>
        <w:rPr>
          <w:rFonts w:ascii="Arial" w:cs="Arial" w:eastAsia="Arial" w:hAnsi="Arial"/>
          <w:sz w:val="24"/>
          <w:szCs w:val="24"/>
        </w:rPr>
        <w:t xml:space="preserve">The multi-layered architecture of mature democratic systems — bicameral legislatures, independent courts, regulatory agencies, advisory bodies, local governance — functions as a distributed decision network with different nodes calibrated to different scales of consequence. High-stakes, irreversible allocations face higher consensus thresholds; routine adjustments proceed through lower-cost channels. This architecture is not elegant, and it is frequently maddening to navigate. It is, however, adaptive — capable of making different kinds of decisions at different speeds without requiring a single centralized authority to adjudicate everything.</w:t>
      </w:r>
    </w:p>
    <w:p>
      <w:pPr>
        <w:spacing w:before="140" w:after="140" w:line="360"/>
        <w:jc w:val="both"/>
      </w:pPr>
      <w:r>
        <w:rPr>
          <w:rFonts w:ascii="Arial" w:cs="Arial" w:eastAsia="Arial" w:hAnsi="Arial"/>
          <w:sz w:val="24"/>
          <w:szCs w:val="24"/>
        </w:rPr>
        <w:t xml:space="preserve">Sparksism treats democratic governance analytically, as a coordination mechanism whose structural properties explain its recurrence across otherwise dissimilar societies.[3] The claim is not that democracy is inevitable in any deterministic sense, but that the structural advantages it offers for DMZ negotiation are sufficient, over time, to outcompete the alternatives — and that the historical pattern of democratic adoption and re-adoption following authoritarian interruption is consistent with this structural explanation.</w:t>
      </w:r>
    </w:p>
    <w:p>
      <w:pPr>
        <w:spacing w:before="80" w:after="80"/>
      </w:pPr>
      <w:r>
        <w:t xml:space="preserve"/>
      </w:r>
    </w:p>
    <w:p>
      <w:pPr>
        <w:pStyle w:val="Heading1"/>
        <w:spacing w:before="400" w:after="200"/>
      </w:pPr>
      <w:r>
        <w:rPr>
          <w:rFonts w:ascii="Arial" w:cs="Arial" w:eastAsia="Arial" w:hAnsi="Arial"/>
          <w:b/>
          <w:bCs/>
          <w:color w:val="1F3864"/>
          <w:sz w:val="28"/>
          <w:szCs w:val="28"/>
        </w:rPr>
        <w:t xml:space="preserve">6. Stabilization and Substrate Accumulation</w:t>
      </w:r>
    </w:p>
    <w:p>
      <w:pPr>
        <w:spacing w:before="140" w:after="140" w:line="360"/>
        <w:jc w:val="both"/>
      </w:pPr>
      <w:r>
        <w:rPr>
          <w:rFonts w:ascii="Arial" w:cs="Arial" w:eastAsia="Arial" w:hAnsi="Arial"/>
          <w:sz w:val="24"/>
          <w:szCs w:val="24"/>
        </w:rPr>
        <w:t xml:space="preserve">Complex adaptive systems exhibit stabilizing dynamics arising from feedback between decentralized variation and institutional coordination (Holland, 1992). As the institutional track codifies successful private innovations and builds them into durable infrastructure, it creates substrate — accumulated capacity that future private variation can exploit and build upon. The substrate accumulation process is cumulative and path-dependent; what appears as sudden technological breakthrough typically reflects prior infrastructure crossing an implementation threshold rather than a genuinely discontinuous event (Arthur, 1994, 2009).</w:t>
      </w:r>
    </w:p>
    <w:p>
      <w:pPr>
        <w:spacing w:before="140" w:after="140" w:line="360"/>
        <w:jc w:val="both"/>
      </w:pPr>
      <w:r>
        <w:rPr>
          <w:rFonts w:ascii="Arial" w:cs="Arial" w:eastAsia="Arial" w:hAnsi="Arial"/>
          <w:sz w:val="24"/>
          <w:szCs w:val="24"/>
        </w:rPr>
        <w:t xml:space="preserve">This observation has a practical implication for how technological acceleration should be interpreted. Each generation tends to experience its own moment as uniquely disruptive — as a discontinuity that exceeds the adaptive capacity of existing institutions. And each generation is, in a narrow sense, correct: the specific combination of technologies and social conditions at any given moment is unprecedented. What the disruption framing tends to miss is that the capacity for adaptation is itself a form of accumulated substrate. Institutions, norms, legal frameworks, and shared cognitive models for navigating technological change are all infrastructure — products of the same two-track pipeline that produced the disrupting technology itself.</w:t>
      </w:r>
    </w:p>
    <w:p>
      <w:pPr>
        <w:spacing w:before="140" w:after="140" w:line="360"/>
        <w:jc w:val="both"/>
      </w:pPr>
      <w:r>
        <w:rPr>
          <w:rFonts w:ascii="Arial" w:cs="Arial" w:eastAsia="Arial" w:hAnsi="Arial"/>
          <w:sz w:val="24"/>
          <w:szCs w:val="24"/>
        </w:rPr>
        <w:t xml:space="preserve">Instability emerges when either track is excessively suppressed. Extreme institutional expansion — the progressive elimination of decentralized variation in favor of centrally directed production — reduces the adaptive search space available to the system. Problems that require novel recognition cannot be solved by institutions that have eliminated the private nodes where novel recognition originates. Extreme deregulation — the progressive elimination of scaling capacity in favor of pure market allocation — erodes the infrastructure on which private variation itself depends. Markets require legal frameworks, contract enforcement, property rights regimes, and physical infrastructure to function; dismantling these in the name of market freedom is self-undermining in a structural rather than merely political sense.</w:t>
      </w:r>
    </w:p>
    <w:p>
      <w:pPr>
        <w:spacing w:before="140" w:after="140" w:line="360"/>
        <w:jc w:val="both"/>
      </w:pPr>
      <w:r>
        <w:rPr>
          <w:rFonts w:ascii="Arial" w:cs="Arial" w:eastAsia="Arial" w:hAnsi="Arial"/>
          <w:sz w:val="24"/>
          <w:szCs w:val="24"/>
        </w:rPr>
        <w:t xml:space="preserve">Both pathologies increase oscillation amplitude — the magnitude of the corrective swings the system must make to restore functional balance — and force disruptive correction precisely because moderate continuous calibration was unavailable. The historical record of both collectivist collapse and market crisis is, in Sparksism's framework, a record of the costs incurred when calibration is prevented long enough that correction must be sudden rather than gradual.</w:t>
      </w:r>
    </w:p>
    <w:p>
      <w:pPr>
        <w:spacing w:before="80" w:after="80"/>
      </w:pPr>
      <w:r>
        <w:t xml:space="preserve"/>
      </w:r>
    </w:p>
    <w:p>
      <w:pPr>
        <w:pStyle w:val="Heading1"/>
        <w:spacing w:before="400" w:after="200"/>
      </w:pPr>
      <w:r>
        <w:rPr>
          <w:rFonts w:ascii="Arial" w:cs="Arial" w:eastAsia="Arial" w:hAnsi="Arial"/>
          <w:b/>
          <w:bCs/>
          <w:color w:val="1F3864"/>
          <w:sz w:val="28"/>
          <w:szCs w:val="28"/>
        </w:rPr>
        <w:t xml:space="preserve">7. Formal Illustration and Systems Dynamics</w:t>
      </w:r>
    </w:p>
    <w:p>
      <w:pPr>
        <w:spacing w:before="140" w:after="140" w:line="360"/>
        <w:jc w:val="both"/>
      </w:pPr>
      <w:r>
        <w:rPr>
          <w:rFonts w:ascii="Arial" w:cs="Arial" w:eastAsia="Arial" w:hAnsi="Arial"/>
          <w:sz w:val="24"/>
          <w:szCs w:val="24"/>
        </w:rPr>
        <w:t xml:space="preserve">The following formal representation is offered as an illustration of the structural relationships described above rather than as a complete quantitative model. The goal is to make the core claims precise enough to generate testable predictions.</w:t>
      </w:r>
    </w:p>
    <w:p>
      <w:pPr>
        <w:spacing w:before="140" w:after="140" w:line="360"/>
        <w:jc w:val="both"/>
      </w:pPr>
      <w:r>
        <w:rPr>
          <w:rFonts w:ascii="Arial" w:cs="Arial" w:eastAsia="Arial" w:hAnsi="Arial"/>
          <w:sz w:val="24"/>
          <w:szCs w:val="24"/>
        </w:rPr>
        <w:t xml:space="preserve">Let P(t) and I(t) represent the allocation shares of the private and institutional tracks respectively, where:</w:t>
      </w:r>
    </w:p>
    <w:p>
      <w:pPr>
        <w:spacing w:before="100" w:after="100" w:line="300"/>
        <w:ind w:left="720"/>
        <w:jc w:val="left"/>
      </w:pPr>
      <w:r>
        <w:rPr>
          <w:rFonts w:ascii="Courier New" w:cs="Courier New" w:eastAsia="Courier New" w:hAnsi="Courier New"/>
          <w:sz w:val="22"/>
          <w:szCs w:val="22"/>
        </w:rPr>
        <w:t xml:space="preserve">P(t) + I(t) = 1</w:t>
      </w:r>
    </w:p>
    <w:p>
      <w:pPr>
        <w:pStyle w:val="Heading2"/>
        <w:spacing w:before="280" w:after="140"/>
      </w:pPr>
      <w:r>
        <w:rPr>
          <w:rFonts w:ascii="Arial" w:cs="Arial" w:eastAsia="Arial" w:hAnsi="Arial"/>
          <w:b/>
          <w:bCs/>
          <w:i/>
          <w:iCs/>
          <w:color w:val="2E5090"/>
          <w:sz w:val="25"/>
          <w:szCs w:val="25"/>
        </w:rPr>
        <w:t xml:space="preserve">7.1 Boundary Adjustment</w:t>
      </w:r>
    </w:p>
    <w:p>
      <w:pPr>
        <w:spacing w:before="140" w:after="140" w:line="360"/>
        <w:jc w:val="both"/>
      </w:pPr>
      <w:r>
        <w:rPr>
          <w:rFonts w:ascii="Arial" w:cs="Arial" w:eastAsia="Arial" w:hAnsi="Arial"/>
          <w:sz w:val="24"/>
          <w:szCs w:val="24"/>
        </w:rPr>
        <w:t xml:space="preserve">DMZ boundary reallocation responds to structural pressures rather than to ideological preference. The institutional share at time t+1 is modeled as:</w:t>
      </w:r>
    </w:p>
    <w:p>
      <w:pPr>
        <w:spacing w:before="100" w:after="100" w:line="300"/>
        <w:ind w:left="720"/>
        <w:jc w:val="left"/>
      </w:pPr>
      <w:r>
        <w:rPr>
          <w:rFonts w:ascii="Courier New" w:cs="Courier New" w:eastAsia="Courier New" w:hAnsi="Courier New"/>
          <w:sz w:val="22"/>
          <w:szCs w:val="22"/>
        </w:rPr>
        <w:t xml:space="preserve">D(t+1) = σ(α₀ + α₁·Shock(t) + α₂·Scale(t) + α₃·Scarcity(t))</w:t>
      </w:r>
    </w:p>
    <w:p>
      <w:pPr>
        <w:spacing w:before="140" w:after="140" w:line="360"/>
        <w:jc w:val="both"/>
      </w:pPr>
      <w:r>
        <w:rPr>
          <w:rFonts w:ascii="Arial" w:cs="Arial" w:eastAsia="Arial" w:hAnsi="Arial"/>
          <w:sz w:val="24"/>
          <w:szCs w:val="24"/>
        </w:rPr>
        <w:t xml:space="preserve">where σ is a logistic function constraining D to (0,1), and the α coefficients represent the sensitivity of boundary adjustment to each class of structural pressure. The model predicts that observable boundary shifts — nationalization, deregulation, regulatory expansion, privatization — will correlate with measurable changes in Shock, Scale, and Scarcity variables rather than with the ideological composition of governing coalitions alone.</w:t>
      </w:r>
    </w:p>
    <w:p>
      <w:pPr>
        <w:pStyle w:val="Heading2"/>
        <w:spacing w:before="280" w:after="140"/>
      </w:pPr>
      <w:r>
        <w:rPr>
          <w:rFonts w:ascii="Arial" w:cs="Arial" w:eastAsia="Arial" w:hAnsi="Arial"/>
          <w:b/>
          <w:bCs/>
          <w:i/>
          <w:iCs/>
          <w:color w:val="2E5090"/>
          <w:sz w:val="25"/>
          <w:szCs w:val="25"/>
        </w:rPr>
        <w:t xml:space="preserve">7.2 Innovation Function</w:t>
      </w:r>
    </w:p>
    <w:p>
      <w:pPr>
        <w:spacing w:before="140" w:after="140" w:line="360"/>
        <w:jc w:val="both"/>
      </w:pPr>
      <w:r>
        <w:rPr>
          <w:rFonts w:ascii="Arial" w:cs="Arial" w:eastAsia="Arial" w:hAnsi="Arial"/>
          <w:sz w:val="24"/>
          <w:szCs w:val="24"/>
        </w:rPr>
        <w:t xml:space="preserve">The system's innovation output is a function of both private variation capacity and institutional scaling capacity:</w:t>
      </w:r>
    </w:p>
    <w:p>
      <w:pPr>
        <w:spacing w:before="100" w:after="100" w:line="300"/>
        <w:ind w:left="720"/>
        <w:jc w:val="left"/>
      </w:pPr>
      <w:r>
        <w:rPr>
          <w:rFonts w:ascii="Courier New" w:cs="Courier New" w:eastAsia="Courier New" w:hAnsi="Courier New"/>
          <w:sz w:val="22"/>
          <w:szCs w:val="22"/>
        </w:rPr>
        <w:t xml:space="preserve">Innovation(t) = V(P(t)) × S(I(t))</w:t>
      </w:r>
    </w:p>
    <w:p>
      <w:pPr>
        <w:spacing w:before="140" w:after="140" w:line="360"/>
        <w:jc w:val="both"/>
      </w:pPr>
      <w:r>
        <w:rPr>
          <w:rFonts w:ascii="Arial" w:cs="Arial" w:eastAsia="Arial" w:hAnsi="Arial"/>
          <w:sz w:val="24"/>
          <w:szCs w:val="24"/>
        </w:rPr>
        <w:t xml:space="preserve">V denotes the variation function — the system's capacity to generate novel combinations — and S denotes the scaling function — the system's capacity to amplify and distribute successful variations. The multiplicative relationship captures the claim that variation without scaling and scaling without variation both produce innovation outputs approaching zero. The tracks are complements, not substitutes.</w:t>
      </w:r>
    </w:p>
    <w:p>
      <w:pPr>
        <w:pStyle w:val="Heading2"/>
        <w:spacing w:before="280" w:after="140"/>
      </w:pPr>
      <w:r>
        <w:rPr>
          <w:rFonts w:ascii="Arial" w:cs="Arial" w:eastAsia="Arial" w:hAnsi="Arial"/>
          <w:b/>
          <w:bCs/>
          <w:i/>
          <w:iCs/>
          <w:color w:val="2E5090"/>
          <w:sz w:val="25"/>
          <w:szCs w:val="25"/>
        </w:rPr>
        <w:t xml:space="preserve">7.3 Instability at Extremes</w:t>
      </w:r>
    </w:p>
    <w:p>
      <w:pPr>
        <w:spacing w:before="140" w:after="140" w:line="360"/>
        <w:jc w:val="both"/>
      </w:pPr>
      <w:r>
        <w:rPr>
          <w:rFonts w:ascii="Arial" w:cs="Arial" w:eastAsia="Arial" w:hAnsi="Arial"/>
          <w:sz w:val="24"/>
          <w:szCs w:val="24"/>
        </w:rPr>
        <w:t xml:space="preserve">Adaptive instability increases at allocation extremes:</w:t>
      </w:r>
    </w:p>
    <w:p>
      <w:pPr>
        <w:spacing w:before="100" w:after="100" w:line="300"/>
        <w:ind w:left="720"/>
        <w:jc w:val="left"/>
      </w:pPr>
      <w:r>
        <w:rPr>
          <w:rFonts w:ascii="Courier New" w:cs="Courier New" w:eastAsia="Courier New" w:hAnsi="Courier New"/>
          <w:sz w:val="22"/>
          <w:szCs w:val="22"/>
        </w:rPr>
        <w:t xml:space="preserve">Instability(t) = γ₁·max(0, P(t) − P_max) + γ₂·max(0, P_min − P(t))</w:t>
      </w:r>
    </w:p>
    <w:p>
      <w:pPr>
        <w:spacing w:before="140" w:after="140" w:line="360"/>
        <w:jc w:val="both"/>
      </w:pPr>
      <w:r>
        <w:rPr>
          <w:rFonts w:ascii="Arial" w:cs="Arial" w:eastAsia="Arial" w:hAnsi="Arial"/>
          <w:sz w:val="24"/>
          <w:szCs w:val="24"/>
        </w:rPr>
        <w:t xml:space="preserve">where P_max and P_min define the range of private allocation within which the system remains adaptively stable. The parameters γ₁ and γ₂ capture the asymmetric costs of the two failure modes: excessive private allocation (scaling capacity erosion) and excessive institutional allocation (variation capacity suppression). These costs need not be symmetric; empirical calibration of the failure modes may find that one produces more rapid instability than the other under comparable levels of extreme allocation.</w:t>
      </w:r>
    </w:p>
    <w:p>
      <w:pPr>
        <w:pStyle w:val="Heading2"/>
        <w:spacing w:before="280" w:after="140"/>
      </w:pPr>
      <w:r>
        <w:rPr>
          <w:rFonts w:ascii="Arial" w:cs="Arial" w:eastAsia="Arial" w:hAnsi="Arial"/>
          <w:b/>
          <w:bCs/>
          <w:i/>
          <w:iCs/>
          <w:color w:val="2E5090"/>
          <w:sz w:val="25"/>
          <w:szCs w:val="25"/>
        </w:rPr>
        <w:t xml:space="preserve">7.4 Progress Condition</w:t>
      </w:r>
    </w:p>
    <w:p>
      <w:pPr>
        <w:spacing w:before="140" w:after="140" w:line="360"/>
        <w:jc w:val="both"/>
      </w:pPr>
      <w:r>
        <w:rPr>
          <w:rFonts w:ascii="Arial" w:cs="Arial" w:eastAsia="Arial" w:hAnsi="Arial"/>
          <w:sz w:val="24"/>
          <w:szCs w:val="24"/>
        </w:rPr>
        <w:t xml:space="preserve">Sustainable systemic progress — barrier reduction, capability expansion — requires that scaling improvements not be purchased at the cost of variation capacity:</w:t>
      </w:r>
    </w:p>
    <w:p>
      <w:pPr>
        <w:spacing w:before="100" w:after="100" w:line="300"/>
        <w:ind w:left="720"/>
        <w:jc w:val="left"/>
      </w:pPr>
      <w:r>
        <w:rPr>
          <w:rFonts w:ascii="Courier New" w:cs="Courier New" w:eastAsia="Courier New" w:hAnsi="Courier New"/>
          <w:sz w:val="22"/>
          <w:szCs w:val="22"/>
        </w:rPr>
        <w:t xml:space="preserve">G(t) = −ΔB(t),  subject to V(P(t)) ≥ V_min</w:t>
      </w:r>
    </w:p>
    <w:p>
      <w:pPr>
        <w:spacing w:before="140" w:after="140" w:line="360"/>
        <w:jc w:val="both"/>
      </w:pPr>
      <w:r>
        <w:rPr>
          <w:rFonts w:ascii="Arial" w:cs="Arial" w:eastAsia="Arial" w:hAnsi="Arial"/>
          <w:sz w:val="24"/>
          <w:szCs w:val="24"/>
        </w:rPr>
        <w:t xml:space="preserve">where B(t) represents systemic barriers to coordination and V_min is the minimum variation capacity required for adaptive adequacy. The constraint formalizes the intuition that institutional expansion which eliminates the private generative track is not progress in any sustainable sense — it resolves present coordination problems by eliminating the system's capacity to identify future ones.</w:t>
      </w:r>
    </w:p>
    <w:p>
      <w:pPr>
        <w:pStyle w:val="Heading2"/>
        <w:spacing w:before="280" w:after="140"/>
      </w:pPr>
      <w:r>
        <w:rPr>
          <w:rFonts w:ascii="Arial" w:cs="Arial" w:eastAsia="Arial" w:hAnsi="Arial"/>
          <w:b/>
          <w:bCs/>
          <w:i/>
          <w:iCs/>
          <w:color w:val="2E5090"/>
          <w:sz w:val="25"/>
          <w:szCs w:val="25"/>
        </w:rPr>
        <w:t xml:space="preserve">7.5 Conceptual Operationalization</w:t>
      </w:r>
    </w:p>
    <w:p>
      <w:pPr>
        <w:spacing w:before="140" w:after="140" w:line="360"/>
        <w:jc w:val="both"/>
      </w:pPr>
      <w:r>
        <w:rPr>
          <w:rFonts w:ascii="Arial" w:cs="Arial" w:eastAsia="Arial" w:hAnsi="Arial"/>
          <w:sz w:val="24"/>
          <w:szCs w:val="24"/>
        </w:rPr>
        <w:t xml:space="preserve">The formal variables above are theoretically specified but require empirical operationalization before the model can generate testable predictions. The following conceptual proxies are offered to indicate that such operationalization is feasible, without prescribing a single data strategy. Shock(t) could be approximated by pandemic excess mortality rates, conflict intensity indices, or financial market volatility measures such as the VIX — each capturing a different class of systemic disruption that the framework predicts will shift institutional allocation. Scale(t) maps plausibly onto population size, urbanization rate, or network density metrics, all of which increase coordination complexity in ways the model associates with expanded institutional demand. Scarcity(t) could be proxied by commodity price volatility, resource concentration indices, or supply chain disruption measures. On the track-function side, V(P(t)) — private variation capacity — has natural proxies in firm entry and exit rates, patent application filings, venture capital deployment, and new establishment formation, all of which are collected in standard economic databases. S(I(t)) — institutional scaling capacity — maps onto infrastructure investment as a share of GDP, regulatory quality and contract enforcement indices (published by the World Bank and others), and public R&amp;D expenditure. None of these proxies is perfect, and appropriate selection will vary by context, temporal scale, and the specific hypothesis under examination. The point is not to prescribe a data model but to demonstrate that the framework's structural variables correspond to measurable phenomena — that the theory, in principle, touches the ground.</w:t>
      </w:r>
    </w:p>
    <w:p>
      <w:pPr>
        <w:spacing w:before="80" w:after="80"/>
      </w:pPr>
      <w:r>
        <w:t xml:space="preserve"/>
      </w:r>
    </w:p>
    <w:p>
      <w:pPr>
        <w:pStyle w:val="Heading1"/>
        <w:spacing w:before="400" w:after="200"/>
      </w:pPr>
      <w:r>
        <w:rPr>
          <w:rFonts w:ascii="Arial" w:cs="Arial" w:eastAsia="Arial" w:hAnsi="Arial"/>
          <w:b/>
          <w:bCs/>
          <w:color w:val="1F3864"/>
          <w:sz w:val="28"/>
          <w:szCs w:val="28"/>
        </w:rPr>
        <w:t xml:space="preserve">8. Empirical Illustrations</w:t>
      </w:r>
    </w:p>
    <w:p>
      <w:pPr>
        <w:spacing w:before="140" w:after="140" w:line="360"/>
        <w:jc w:val="both"/>
      </w:pPr>
      <w:r>
        <w:rPr>
          <w:rFonts w:ascii="Arial" w:cs="Arial" w:eastAsia="Arial" w:hAnsi="Arial"/>
          <w:sz w:val="24"/>
          <w:szCs w:val="24"/>
        </w:rPr>
        <w:t xml:space="preserve">The following cases are offered not as rigorous empirical tests — which would require data collection and analysis beyond the scope of this paper — but as illustrations of how the framework maps onto observable historical patterns.</w:t>
      </w:r>
    </w:p>
    <w:p>
      <w:pPr>
        <w:pStyle w:val="Heading2"/>
        <w:spacing w:before="280" w:after="140"/>
      </w:pPr>
      <w:r>
        <w:rPr>
          <w:rFonts w:ascii="Arial" w:cs="Arial" w:eastAsia="Arial" w:hAnsi="Arial"/>
          <w:b/>
          <w:bCs/>
          <w:i/>
          <w:iCs/>
          <w:color w:val="2E5090"/>
          <w:sz w:val="25"/>
          <w:szCs w:val="25"/>
        </w:rPr>
        <w:t xml:space="preserve">8.1 Pandemic Shock</w:t>
      </w:r>
    </w:p>
    <w:p>
      <w:pPr>
        <w:spacing w:before="140" w:after="140" w:line="360"/>
        <w:jc w:val="both"/>
      </w:pPr>
      <w:r>
        <w:rPr>
          <w:rFonts w:ascii="Arial" w:cs="Arial" w:eastAsia="Arial" w:hAnsi="Arial"/>
          <w:sz w:val="24"/>
          <w:szCs w:val="24"/>
        </w:rPr>
        <w:t xml:space="preserve">The COVID-19 pandemic represents a natural experiment in DMZ boundary adjustment under acute shock. The crisis increased Shock(t) sharply across all affected economies, producing rapid expansion of institutional allocation in domains — public health coordination, emergency economic support, vaccine development — where private provision had previously been dominant or contested. The subsequent private pharmaceutical innovation that produced effective vaccines within twelve months demonstrated the private track's continued generative function even within an expanded institutional framework; the institutional track then provided the scaling infrastructure for distribution. Post-crisis renegotiation of the boundary — debates over the permanence of expanded public health authority, the continuation of emergency economic measures, and the appropriate long-term allocation of vaccine production capacity — reflects exactly the dynamic boundary adjustment the framework predicts.</w:t>
      </w:r>
    </w:p>
    <w:p>
      <w:pPr>
        <w:pStyle w:val="Heading2"/>
        <w:spacing w:before="280" w:after="140"/>
      </w:pPr>
      <w:r>
        <w:rPr>
          <w:rFonts w:ascii="Arial" w:cs="Arial" w:eastAsia="Arial" w:hAnsi="Arial"/>
          <w:b/>
          <w:bCs/>
          <w:i/>
          <w:iCs/>
          <w:color w:val="2E5090"/>
          <w:sz w:val="25"/>
          <w:szCs w:val="25"/>
        </w:rPr>
        <w:t xml:space="preserve">8.2 Internet Substrate Accumulation</w:t>
      </w:r>
    </w:p>
    <w:p>
      <w:pPr>
        <w:spacing w:before="140" w:after="140" w:line="360"/>
        <w:jc w:val="both"/>
      </w:pPr>
      <w:r>
        <w:rPr>
          <w:rFonts w:ascii="Arial" w:cs="Arial" w:eastAsia="Arial" w:hAnsi="Arial"/>
          <w:sz w:val="24"/>
          <w:szCs w:val="24"/>
        </w:rPr>
        <w:t xml:space="preserve">The apparent explosion of private digital innovation beginning in the 1990s illustrates Arthur's (1994, 2009) substrate threshold mechanism operating within the dual-track pipeline. Decades of publicly funded research — ARPANET, the development of TCP/IP protocols, university computing infrastructure — created accumulated institutional substrate that private entrepreneurs could exploit once it crossed a critical implementation threshold. The private innovation was real and generative; the institutional foundation that made its scale possible was equally real and equally necessary. The historical tendency to narrate internet history as primarily a story of private entrepreneurial genius, or alternatively as primarily a story of public investment, both misread the pipeline structure: it was the sequential interaction of the two tracks that produced the systemic outcome.</w:t>
      </w:r>
    </w:p>
    <w:p>
      <w:pPr>
        <w:pStyle w:val="Heading2"/>
        <w:spacing w:before="280" w:after="140"/>
      </w:pPr>
      <w:r>
        <w:rPr>
          <w:rFonts w:ascii="Arial" w:cs="Arial" w:eastAsia="Arial" w:hAnsi="Arial"/>
          <w:b/>
          <w:bCs/>
          <w:i/>
          <w:iCs/>
          <w:color w:val="2E5090"/>
          <w:sz w:val="25"/>
          <w:szCs w:val="25"/>
        </w:rPr>
        <w:t xml:space="preserve">8.3 Extreme Central Planning</w:t>
      </w:r>
    </w:p>
    <w:p>
      <w:pPr>
        <w:spacing w:before="140" w:after="140" w:line="360"/>
        <w:jc w:val="both"/>
      </w:pPr>
      <w:r>
        <w:rPr>
          <w:rFonts w:ascii="Arial" w:cs="Arial" w:eastAsia="Arial" w:hAnsi="Arial"/>
          <w:sz w:val="24"/>
          <w:szCs w:val="24"/>
        </w:rPr>
        <w:t xml:space="preserve">The Soviet experience provides the most extensively documented case of private track suppression at scale. By systematically eliminating decentralized variation in production, consumption, and innovation — enforcing not merely collective ownership but collective decision-making over what to produce and how — the Soviet system progressively narrowed its own adaptive search space. The institutional track retained scaling capacity but had little successful variation to scale. The system remained capable of executing at impressive scale on problems it already knew how to name — industrial production quotas, military development, space program — while losing the capacity to respond adaptively to problems it had not previously encountered. The collapse, when it came, reflected not a single point of failure but the accumulated adaptive debt of a system that had prevented its own calibration for decades.</w:t>
      </w:r>
    </w:p>
    <w:p>
      <w:pPr>
        <w:pStyle w:val="Heading2"/>
        <w:spacing w:before="280" w:after="140"/>
      </w:pPr>
      <w:r>
        <w:rPr>
          <w:rFonts w:ascii="Arial" w:cs="Arial" w:eastAsia="Arial" w:hAnsi="Arial"/>
          <w:b/>
          <w:bCs/>
          <w:i/>
          <w:iCs/>
          <w:color w:val="2E5090"/>
          <w:sz w:val="25"/>
          <w:szCs w:val="25"/>
        </w:rPr>
        <w:t xml:space="preserve">8.4 Extreme Deregulation</w:t>
      </w:r>
    </w:p>
    <w:p>
      <w:pPr>
        <w:spacing w:before="140" w:after="140" w:line="360"/>
        <w:jc w:val="both"/>
      </w:pPr>
      <w:r>
        <w:rPr>
          <w:rFonts w:ascii="Arial" w:cs="Arial" w:eastAsia="Arial" w:hAnsi="Arial"/>
          <w:sz w:val="24"/>
          <w:szCs w:val="24"/>
        </w:rPr>
        <w:t xml:space="preserve">The failure mode of excessive private allocation is less dramatic in its endpoint but equally consistent in its mechanism. Pure market approaches to the provision of essential coordination goods systematically underprovide them, because market pricing aggregates individual willingness and ability to pay rather than social necessity or network value. The progressive deregulation of financial markets in the decades preceding the 2008 financial crisis illustrates the scaling-capacity erosion pathology: the removal of regulatory infrastructure that had previously constrained private variation did not strengthen the private track — it removed the institutional substrate on which private financial activity depended for its own stability. The crisis required a large and rapid institutional intervention to restore the conditions for private market function, at substantial cost.</w:t>
      </w:r>
    </w:p>
    <w:p>
      <w:pPr>
        <w:pStyle w:val="Heading2"/>
        <w:spacing w:before="280" w:after="140"/>
      </w:pPr>
      <w:r>
        <w:rPr>
          <w:rFonts w:ascii="Arial" w:cs="Arial" w:eastAsia="Arial" w:hAnsi="Arial"/>
          <w:b/>
          <w:bCs/>
          <w:i/>
          <w:iCs/>
          <w:color w:val="2E5090"/>
          <w:sz w:val="25"/>
          <w:szCs w:val="25"/>
        </w:rPr>
        <w:t xml:space="preserve">8.5 Oscillatory Democracies</w:t>
      </w:r>
    </w:p>
    <w:p>
      <w:pPr>
        <w:spacing w:before="140" w:after="140" w:line="360"/>
        <w:jc w:val="both"/>
      </w:pPr>
      <w:r>
        <w:rPr>
          <w:rFonts w:ascii="Arial" w:cs="Arial" w:eastAsia="Arial" w:hAnsi="Arial"/>
          <w:sz w:val="24"/>
          <w:szCs w:val="24"/>
        </w:rPr>
        <w:t xml:space="preserve">The policy cycles observable in mature democratic systems — alternating periods of regulatory expansion and deregulation, welfare state growth and retrenchment, public investment and privatization — are consistent with the framework's prediction that democratic boundary renegotiation produces corrective oscillation around a moving equilibrium rather than convergence on a fixed optimal allocation. These oscillations are not evidence of democratic dysfunction; they are evidence of the system's adaptive responsiveness to changing conditions and to the costs of previous miscalibrations. The amplitude of the oscillation reflects the degree to which prior boundary settings had become misaligned with structural conditions; moderate, continuous calibration would produce smaller corrective swings.</w:t>
      </w:r>
    </w:p>
    <w:p>
      <w:pPr>
        <w:spacing w:before="80" w:after="80"/>
      </w:pPr>
      <w:r>
        <w:t xml:space="preserve"/>
      </w:r>
    </w:p>
    <w:p>
      <w:pPr>
        <w:pStyle w:val="Heading1"/>
        <w:spacing w:before="400" w:after="200"/>
      </w:pPr>
      <w:r>
        <w:rPr>
          <w:rFonts w:ascii="Arial" w:cs="Arial" w:eastAsia="Arial" w:hAnsi="Arial"/>
          <w:b/>
          <w:bCs/>
          <w:color w:val="1F3864"/>
          <w:sz w:val="28"/>
          <w:szCs w:val="28"/>
        </w:rPr>
        <w:t xml:space="preserve">9. Conditions for Falsification</w:t>
      </w:r>
    </w:p>
    <w:p>
      <w:pPr>
        <w:spacing w:before="140" w:after="140" w:line="360"/>
        <w:jc w:val="both"/>
      </w:pPr>
      <w:r>
        <w:rPr>
          <w:rFonts w:ascii="Arial" w:cs="Arial" w:eastAsia="Arial" w:hAnsi="Arial"/>
          <w:sz w:val="24"/>
          <w:szCs w:val="24"/>
        </w:rPr>
        <w:t xml:space="preserve">A framework that cannot specify the evidence that would undermine it is a narrative rather than a theory. Sparksism makes the following predictions, each of which, if consistently disconfirmed, would require substantial revision or abandonment of the framework:</w:t>
      </w:r>
    </w:p>
    <w:p>
      <w:pPr>
        <w:spacing w:before="140" w:after="140" w:line="360"/>
        <w:jc w:val="both"/>
      </w:pPr>
      <w:r>
        <w:rPr>
          <w:rFonts w:ascii="Arial" w:cs="Arial" w:eastAsia="Arial" w:hAnsi="Arial"/>
          <w:sz w:val="24"/>
          <w:szCs w:val="24"/>
        </w:rPr>
        <w:t xml:space="preserve">The dual-track universality claim would be undermined by the sustained operation of a complex society — sustained meaning across multiple generations, complex meaning at the scale of a city or larger — organized entirely on one track, with no meaningful domain of the other. This has not been documented in the historical record. If such a case were identified and verified, the claim of universal dual-track architecture would require revision.</w:t>
      </w:r>
    </w:p>
    <w:p>
      <w:pPr>
        <w:spacing w:before="140" w:after="140" w:line="360"/>
        <w:jc w:val="both"/>
      </w:pPr>
      <w:r>
        <w:rPr>
          <w:rFonts w:ascii="Arial" w:cs="Arial" w:eastAsia="Arial" w:hAnsi="Arial"/>
          <w:sz w:val="24"/>
          <w:szCs w:val="24"/>
        </w:rPr>
        <w:t xml:space="preserve">The instability prediction would be undermined if systems that pushed allocation to documented extremes — near-total institutional control or near-total deregulation — did not exhibit elevated instability over comparable time horizons relative to systems maintaining more balanced allocation. The Soviet case, the 2008 financial crisis, and the historical pattern of collectivist collapse are consistent with the prediction; sustained counter-examples would challenge it.</w:t>
      </w:r>
    </w:p>
    <w:p>
      <w:pPr>
        <w:spacing w:before="140" w:after="140" w:line="360"/>
        <w:jc w:val="both"/>
      </w:pPr>
      <w:r>
        <w:rPr>
          <w:rFonts w:ascii="Arial" w:cs="Arial" w:eastAsia="Arial" w:hAnsi="Arial"/>
          <w:sz w:val="24"/>
          <w:szCs w:val="24"/>
        </w:rPr>
        <w:t xml:space="preserve">The democratic efficiency claim would be undermined if authoritarian regimes consistently demonstrated lower overhead costs for equivalent boundary renegotiations — that is, if they could adjust the DMZ boundary as frequently and accurately as democratic systems, at lower systemic cost. The documented tendency of authoritarian systems to prevent calibration until crisis forces sudden correction suggests the opposite, but systematic comparative analysis could in principle produce contrary evidence.</w:t>
      </w:r>
    </w:p>
    <w:p>
      <w:pPr>
        <w:spacing w:before="140" w:after="140" w:line="360"/>
        <w:jc w:val="both"/>
      </w:pPr>
      <w:r>
        <w:rPr>
          <w:rFonts w:ascii="Arial" w:cs="Arial" w:eastAsia="Arial" w:hAnsi="Arial"/>
          <w:sz w:val="24"/>
          <w:szCs w:val="24"/>
        </w:rPr>
        <w:t xml:space="preserve">The innovation pipeline claim would be undermined if innovation were documented to flourish systematically under conditions of suppressed decentralized variation — if institutional actors proved capable of generating the novel recognition events that the framework assigns to the private track. Instances of institutional innovation exist and are not denied; the claim is that institutional actors cannot systematically substitute for decentralized variation as a source of novelty, and sustained counter-examples would challenge it.</w:t>
      </w:r>
    </w:p>
    <w:p>
      <w:pPr>
        <w:spacing w:before="80" w:after="80"/>
      </w:pPr>
      <w:r>
        <w:t xml:space="preserve"/>
      </w:r>
    </w:p>
    <w:p>
      <w:pPr>
        <w:pStyle w:val="Heading1"/>
        <w:spacing w:before="400" w:after="200"/>
      </w:pPr>
      <w:r>
        <w:rPr>
          <w:rFonts w:ascii="Arial" w:cs="Arial" w:eastAsia="Arial" w:hAnsi="Arial"/>
          <w:b/>
          <w:bCs/>
          <w:color w:val="1F3864"/>
          <w:sz w:val="28"/>
          <w:szCs w:val="28"/>
        </w:rPr>
        <w:t xml:space="preserve">10. Limitations</w:t>
      </w:r>
    </w:p>
    <w:p>
      <w:pPr>
        <w:spacing w:before="140" w:after="140" w:line="360"/>
        <w:jc w:val="both"/>
      </w:pPr>
      <w:r>
        <w:rPr>
          <w:rFonts w:ascii="Arial" w:cs="Arial" w:eastAsia="Arial" w:hAnsi="Arial"/>
          <w:sz w:val="24"/>
          <w:szCs w:val="24"/>
        </w:rPr>
        <w:t xml:space="preserve">Sparksism does not provide a universal optimal allocation ratio between private and institutional tracks. The framework's central claim is that no such ratio exists independent of structural conditions; the appropriate allocation is always contextual and temporal. Practitioners seeking a formula for optimal policy design will not find one here.</w:t>
      </w:r>
    </w:p>
    <w:p>
      <w:pPr>
        <w:spacing w:before="140" w:after="140" w:line="360"/>
        <w:jc w:val="both"/>
      </w:pPr>
      <w:r>
        <w:rPr>
          <w:rFonts w:ascii="Arial" w:cs="Arial" w:eastAsia="Arial" w:hAnsi="Arial"/>
          <w:sz w:val="24"/>
          <w:szCs w:val="24"/>
        </w:rPr>
        <w:t xml:space="preserve">The formal model presented in Section 7 is illustrative rather than operational. The variables — Shock, Scale, Scarcity, P_max, P_min — require empirical operationalization before the model can generate quantitative predictions. The formal representation is intended to make the structural relationships precise and testable in principle, not to substitute for the empirical work of measurement.</w:t>
      </w:r>
    </w:p>
    <w:p>
      <w:pPr>
        <w:spacing w:before="140" w:after="140" w:line="360"/>
        <w:jc w:val="both"/>
      </w:pPr>
      <w:r>
        <w:rPr>
          <w:rFonts w:ascii="Arial" w:cs="Arial" w:eastAsia="Arial" w:hAnsi="Arial"/>
          <w:sz w:val="24"/>
          <w:szCs w:val="24"/>
        </w:rPr>
        <w:t xml:space="preserve">The framework treats the two tracks and the DMZ as applicable across historical periods and cultural contexts. This breadth is both the framework's ambition and its principal methodological risk. Concepts developed in one context may impose categories that distort the analysis of another; the claim of cross-cultural applicability requires ongoing empirical scrutiny rather than assumption.</w:t>
      </w:r>
    </w:p>
    <w:p>
      <w:pPr>
        <w:spacing w:before="140" w:after="140" w:line="360"/>
        <w:jc w:val="both"/>
      </w:pPr>
      <w:r>
        <w:rPr>
          <w:rFonts w:ascii="Arial" w:cs="Arial" w:eastAsia="Arial" w:hAnsi="Arial"/>
          <w:sz w:val="24"/>
          <w:szCs w:val="24"/>
        </w:rPr>
        <w:t xml:space="preserve">Finally, the treatment of democratic governance as structurally advantageous for DMZ negotiation does not address the conditions under which democratic systems fail to perform this function — capture by narrow interests, deliberate institutional degradation, the concentration of information and media power that distorts the aggregation process. These failure modes are real and their prevalence is a serious empirical question. The framework's structural argument for democratic advantage does not entail that actually existing democratic systems always realize that advantage.</w:t>
      </w:r>
    </w:p>
    <w:p>
      <w:pPr>
        <w:spacing w:before="140" w:after="140" w:line="360"/>
        <w:jc w:val="both"/>
      </w:pPr>
      <w:r>
        <w:rPr>
          <w:rFonts w:ascii="Arial" w:cs="Arial" w:eastAsia="Arial" w:hAnsi="Arial"/>
          <w:sz w:val="24"/>
          <w:szCs w:val="24"/>
        </w:rPr>
        <w:t xml:space="preserve">The framework also does not assume that institutional adjustment is neutral or that the DMZ responds automatically to structural conditions. Institutional actors — regulatory bodies, legislatures, public agencies — have interests of their own, and those interests may include the preservation of existing authority, budget, and jurisdiction regardless of whether the current allocation remains structurally appropriate. Private actors, meanwhile, may capture institutional mechanisms and redirect them toward boundary positions that serve concentrated interests rather than systemic function. Both dynamics distort calibration: the DMZ is held in place not by structural necessity but by the organizational interests of those who benefit from its current position. The framework identifies democratic contestation as the corrective mechanism for such distortion, but acknowledges that the corrective mechanism is itself subject to capture. This is a genuine limitation, not a peripheral one. It means that the structural advantages of the dual-track system are always realized through imperfect institutional instruments, and that the distance between the system's theoretical adaptive capacity and its actual performance at any given moment is largely a function of how severely those instruments have been compromised.</w:t>
      </w:r>
    </w:p>
    <w:p>
      <w:pPr>
        <w:spacing w:before="80" w:after="80"/>
      </w:pPr>
      <w:r>
        <w:t xml:space="preserve"/>
      </w:r>
    </w:p>
    <w:p>
      <w:pPr>
        <w:pStyle w:val="Heading1"/>
        <w:spacing w:before="400" w:after="200"/>
      </w:pPr>
      <w:r>
        <w:rPr>
          <w:rFonts w:ascii="Arial" w:cs="Arial" w:eastAsia="Arial" w:hAnsi="Arial"/>
          <w:b/>
          <w:bCs/>
          <w:color w:val="1F3864"/>
          <w:sz w:val="28"/>
          <w:szCs w:val="28"/>
        </w:rPr>
        <w:t xml:space="preserve">11. Conclusion</w:t>
      </w:r>
    </w:p>
    <w:p>
      <w:pPr>
        <w:spacing w:before="140" w:after="140" w:line="360"/>
        <w:jc w:val="both"/>
      </w:pPr>
      <w:r>
        <w:rPr>
          <w:rFonts w:ascii="Arial" w:cs="Arial" w:eastAsia="Arial" w:hAnsi="Arial"/>
          <w:sz w:val="24"/>
          <w:szCs w:val="24"/>
        </w:rPr>
        <w:t xml:space="preserve">The argument this paper advances is, at its core, an observational one. It does not prescribe what economies ought to look like; it proposes a way of seeing what they actually are. And what they actually are, across the full documented span of complex human civilization, is dual-track: organized simultaneously around decentralized private generation and institutional coordination, with a contested boundary between them that shifts as conditions change.</w:t>
      </w:r>
    </w:p>
    <w:p>
      <w:pPr>
        <w:spacing w:before="140" w:after="140" w:line="360"/>
        <w:jc w:val="both"/>
      </w:pPr>
      <w:r>
        <w:rPr>
          <w:rFonts w:ascii="Arial" w:cs="Arial" w:eastAsia="Arial" w:hAnsi="Arial"/>
          <w:sz w:val="24"/>
          <w:szCs w:val="24"/>
        </w:rPr>
        <w:t xml:space="preserve">This observation resists both the libertarian claim that markets are sufficient and the collectivist claim that coordination is primary. Neither track can replace the other. The private track generates the novelty that the institutional track scales; the institutional track provides the substrate on which the private track operates. Suppress either, and the pipeline breaks — not because of ideological failure but because of structural necessity.</w:t>
      </w:r>
    </w:p>
    <w:p>
      <w:pPr>
        <w:spacing w:before="140" w:after="140" w:line="360"/>
        <w:jc w:val="both"/>
      </w:pPr>
      <w:r>
        <w:rPr>
          <w:rFonts w:ascii="Arial" w:cs="Arial" w:eastAsia="Arial" w:hAnsi="Arial"/>
          <w:sz w:val="24"/>
          <w:szCs w:val="24"/>
        </w:rPr>
        <w:t xml:space="preserve">Democratic governance, in this framework, is not primarily a moral achievement, though it may be that as well. It is the coordination mechanism that reduces the overhead of boundary renegotiation to a level the system can sustain — allowing continuous calibration rather than forcing the accumulated adaptive debt that eventually requires sudden and costly correction.</w:t>
      </w:r>
    </w:p>
    <w:p>
      <w:pPr>
        <w:spacing w:before="140" w:after="140" w:line="360"/>
        <w:jc w:val="both"/>
      </w:pPr>
      <w:r>
        <w:rPr>
          <w:rFonts w:ascii="Arial" w:cs="Arial" w:eastAsia="Arial" w:hAnsi="Arial"/>
          <w:sz w:val="24"/>
          <w:szCs w:val="24"/>
        </w:rPr>
        <w:t xml:space="preserve">The framework is offered not as a completed theory but as a structured lens — a way of organizing the questions that political economy must address about stability, innovation, and governance under changing conditions. Its claims are stated precisely enough to be challenged. The challenge, if it comes, will advance understanding of these questions regardless of whether Sparksism survives it intact.</w:t>
      </w:r>
    </w:p>
    <w:p>
      <w:pPr>
        <w:spacing w:before="80" w:after="80"/>
      </w:pPr>
      <w:r>
        <w:t xml:space="preserve"/>
      </w:r>
    </w:p>
    <w:p>
      <w:pPr>
        <w:pBdr>
          <w:bottom w:val="single" w:color="CCCCCC" w:sz="6" w:space="1"/>
        </w:pBdr>
        <w:spacing w:before="200" w:after="200"/>
      </w:pPr>
      <w:r>
        <w:t xml:space="preserve"/>
      </w:r>
    </w:p>
    <w:p>
      <w:pPr>
        <w:pStyle w:val="Heading1"/>
        <w:spacing w:before="400" w:after="200"/>
      </w:pPr>
      <w:r>
        <w:rPr>
          <w:rFonts w:ascii="Arial" w:cs="Arial" w:eastAsia="Arial" w:hAnsi="Arial"/>
          <w:b/>
          <w:bCs/>
          <w:color w:val="1F3864"/>
          <w:sz w:val="28"/>
          <w:szCs w:val="28"/>
        </w:rPr>
        <w:t xml:space="preserve">Footnotes</w:t>
      </w:r>
    </w:p>
    <w:p>
      <w:pPr>
        <w:spacing w:before="140" w:after="140" w:line="360"/>
        <w:jc w:val="both"/>
      </w:pPr>
      <w:r>
        <w:rPr>
          <w:rFonts w:ascii="Arial" w:cs="Arial" w:eastAsia="Arial" w:hAnsi="Arial"/>
          <w:b/>
          <w:bCs/>
          <w:sz w:val="24"/>
          <w:szCs w:val="24"/>
        </w:rPr>
        <w:t xml:space="preserve">[1]  </w:t>
      </w:r>
      <w:r>
        <w:rPr>
          <w:rFonts w:ascii="Arial" w:cs="Arial" w:eastAsia="Arial" w:hAnsi="Arial"/>
          <w:sz w:val="24"/>
          <w:szCs w:val="24"/>
        </w:rPr>
        <w:t xml:space="preserve">"Private" throughout this paper denotes decentralized generative nodes and does not imply normative preference for privatization or any specific ownership arrangement.</w:t>
      </w:r>
    </w:p>
    <w:p>
      <w:pPr>
        <w:spacing w:before="140" w:after="140" w:line="360"/>
        <w:jc w:val="both"/>
      </w:pPr>
      <w:r>
        <w:rPr>
          <w:rFonts w:ascii="Arial" w:cs="Arial" w:eastAsia="Arial" w:hAnsi="Arial"/>
          <w:b/>
          <w:bCs/>
          <w:sz w:val="24"/>
          <w:szCs w:val="24"/>
        </w:rPr>
        <w:t xml:space="preserve">[2]  </w:t>
      </w:r>
      <w:r>
        <w:rPr>
          <w:rFonts w:ascii="Arial" w:cs="Arial" w:eastAsia="Arial" w:hAnsi="Arial"/>
          <w:sz w:val="24"/>
          <w:szCs w:val="24"/>
        </w:rPr>
        <w:t xml:space="preserve">"Institutional" refers broadly to rule-governed coordination structures operating across scales, from informal community norms to international regulatory bodies.</w:t>
      </w:r>
    </w:p>
    <w:p>
      <w:pPr>
        <w:spacing w:before="140" w:after="140" w:line="360"/>
        <w:jc w:val="both"/>
      </w:pPr>
      <w:r>
        <w:rPr>
          <w:rFonts w:ascii="Arial" w:cs="Arial" w:eastAsia="Arial" w:hAnsi="Arial"/>
          <w:b/>
          <w:bCs/>
          <w:sz w:val="24"/>
          <w:szCs w:val="24"/>
        </w:rPr>
        <w:t xml:space="preserve">[3]  </w:t>
      </w:r>
      <w:r>
        <w:rPr>
          <w:rFonts w:ascii="Arial" w:cs="Arial" w:eastAsia="Arial" w:hAnsi="Arial"/>
          <w:sz w:val="24"/>
          <w:szCs w:val="24"/>
        </w:rPr>
        <w:t xml:space="preserve">The analytic treatment of democracy as a coordination protocol is not intended to exhaust its significance. The normative case for democracy — rooted in human dignity, equal standing, and self-determination — is independent of and compatible with the structural argument advanced here.</w:t>
      </w:r>
    </w:p>
    <w:p>
      <w:pPr>
        <w:spacing w:before="80" w:after="80"/>
      </w:pPr>
      <w:r>
        <w:t xml:space="preserve"/>
      </w:r>
    </w:p>
    <w:p>
      <w:pPr>
        <w:pBdr>
          <w:bottom w:val="single" w:color="CCCCCC" w:sz="6" w:space="1"/>
        </w:pBdr>
        <w:spacing w:before="200" w:after="200"/>
      </w:pPr>
      <w:r>
        <w:t xml:space="preserve"/>
      </w:r>
    </w:p>
    <w:p>
      <w:pPr>
        <w:pStyle w:val="Heading1"/>
        <w:spacing w:before="400" w:after="200"/>
      </w:pPr>
      <w:r>
        <w:rPr>
          <w:rFonts w:ascii="Arial" w:cs="Arial" w:eastAsia="Arial" w:hAnsi="Arial"/>
          <w:b/>
          <w:bCs/>
          <w:color w:val="1F3864"/>
          <w:sz w:val="28"/>
          <w:szCs w:val="28"/>
        </w:rPr>
        <w:t xml:space="preserve">References</w:t>
      </w:r>
    </w:p>
    <w:p>
      <w:pPr>
        <w:spacing w:before="140" w:after="140" w:line="360"/>
        <w:jc w:val="both"/>
      </w:pPr>
      <w:r>
        <w:rPr>
          <w:rFonts w:ascii="Arial" w:cs="Arial" w:eastAsia="Arial" w:hAnsi="Arial"/>
          <w:sz w:val="24"/>
          <w:szCs w:val="24"/>
        </w:rPr>
        <w:t xml:space="preserve">Acemoglu, D., &amp; Robinson, J. A. (2012). Why nations fail: The origins of power, prosperity, and poverty. Crown.</w:t>
      </w:r>
    </w:p>
    <w:p>
      <w:pPr>
        <w:spacing w:before="140" w:after="140" w:line="360"/>
        <w:jc w:val="both"/>
      </w:pPr>
      <w:r>
        <w:rPr>
          <w:rFonts w:ascii="Arial" w:cs="Arial" w:eastAsia="Arial" w:hAnsi="Arial"/>
          <w:sz w:val="24"/>
          <w:szCs w:val="24"/>
        </w:rPr>
        <w:t xml:space="preserve">Arthur, W. B. (1994). Increasing returns and path dependence in the economy. University of Michigan Press.</w:t>
      </w:r>
    </w:p>
    <w:p>
      <w:pPr>
        <w:spacing w:before="140" w:after="140" w:line="360"/>
        <w:jc w:val="both"/>
      </w:pPr>
      <w:r>
        <w:rPr>
          <w:rFonts w:ascii="Arial" w:cs="Arial" w:eastAsia="Arial" w:hAnsi="Arial"/>
          <w:sz w:val="24"/>
          <w:szCs w:val="24"/>
        </w:rPr>
        <w:t xml:space="preserve">Arthur, W. B. (2009). The nature of technology: What it is and how it evolves. Free Press.</w:t>
      </w:r>
    </w:p>
    <w:p>
      <w:pPr>
        <w:spacing w:before="140" w:after="140" w:line="360"/>
        <w:jc w:val="both"/>
      </w:pPr>
      <w:r>
        <w:rPr>
          <w:rFonts w:ascii="Arial" w:cs="Arial" w:eastAsia="Arial" w:hAnsi="Arial"/>
          <w:sz w:val="24"/>
          <w:szCs w:val="24"/>
        </w:rPr>
        <w:t xml:space="preserve">Dahl, R. A. (1989). Democracy and its critics. Yale University Press.</w:t>
      </w:r>
    </w:p>
    <w:p>
      <w:pPr>
        <w:spacing w:before="140" w:after="140" w:line="360"/>
        <w:jc w:val="both"/>
      </w:pPr>
      <w:r>
        <w:rPr>
          <w:rFonts w:ascii="Arial" w:cs="Arial" w:eastAsia="Arial" w:hAnsi="Arial"/>
          <w:sz w:val="24"/>
          <w:szCs w:val="24"/>
        </w:rPr>
        <w:t xml:space="preserve">Hayek, F. A. (1945). The use of knowledge in society. American Economic Review, 35(4), 519–530.</w:t>
      </w:r>
    </w:p>
    <w:p>
      <w:pPr>
        <w:spacing w:before="140" w:after="140" w:line="360"/>
        <w:jc w:val="both"/>
      </w:pPr>
      <w:r>
        <w:rPr>
          <w:rFonts w:ascii="Arial" w:cs="Arial" w:eastAsia="Arial" w:hAnsi="Arial"/>
          <w:sz w:val="24"/>
          <w:szCs w:val="24"/>
        </w:rPr>
        <w:t xml:space="preserve">Hall, P. A., &amp; Soskice, D. (Eds.). (2001). Varieties of capitalism: The institutional foundations of comparative advantage. Oxford University Press.</w:t>
      </w:r>
    </w:p>
    <w:p>
      <w:pPr>
        <w:spacing w:before="140" w:after="140" w:line="360"/>
        <w:jc w:val="both"/>
      </w:pPr>
      <w:r>
        <w:rPr>
          <w:rFonts w:ascii="Arial" w:cs="Arial" w:eastAsia="Arial" w:hAnsi="Arial"/>
          <w:sz w:val="24"/>
          <w:szCs w:val="24"/>
        </w:rPr>
        <w:t xml:space="preserve">Holland, J. H. (1992). Adaptation in natural and artificial systems. MIT Press.</w:t>
      </w:r>
    </w:p>
    <w:p>
      <w:pPr>
        <w:spacing w:before="140" w:after="140" w:line="360"/>
        <w:jc w:val="both"/>
      </w:pPr>
      <w:r>
        <w:rPr>
          <w:rFonts w:ascii="Arial" w:cs="Arial" w:eastAsia="Arial" w:hAnsi="Arial"/>
          <w:sz w:val="24"/>
          <w:szCs w:val="24"/>
        </w:rPr>
        <w:t xml:space="preserve">Nelson, R. R., &amp; Winter, S. G. (1982). An evolutionary theory of economic change. Harvard University Press.</w:t>
      </w:r>
    </w:p>
    <w:p>
      <w:pPr>
        <w:spacing w:before="140" w:after="140" w:line="360"/>
        <w:jc w:val="both"/>
      </w:pPr>
      <w:r>
        <w:rPr>
          <w:rFonts w:ascii="Arial" w:cs="Arial" w:eastAsia="Arial" w:hAnsi="Arial"/>
          <w:sz w:val="24"/>
          <w:szCs w:val="24"/>
        </w:rPr>
        <w:t xml:space="preserve">North, D. C. (1990). Institutions, institutional change and economic performance. Cambridge University Press.</w:t>
      </w:r>
    </w:p>
    <w:p>
      <w:pPr>
        <w:spacing w:before="140" w:after="140" w:line="360"/>
        <w:jc w:val="both"/>
      </w:pPr>
      <w:r>
        <w:rPr>
          <w:rFonts w:ascii="Arial" w:cs="Arial" w:eastAsia="Arial" w:hAnsi="Arial"/>
          <w:sz w:val="24"/>
          <w:szCs w:val="24"/>
        </w:rPr>
        <w:t xml:space="preserve">Ostrom, E. (1990). Governing the commons: The evolution of institutions for collective action. Cambridge University Press.</w:t>
      </w:r>
    </w:p>
    <w:p>
      <w:pPr>
        <w:spacing w:before="140" w:after="140" w:line="360"/>
        <w:jc w:val="both"/>
      </w:pPr>
      <w:r>
        <w:rPr>
          <w:rFonts w:ascii="Arial" w:cs="Arial" w:eastAsia="Arial" w:hAnsi="Arial"/>
          <w:sz w:val="24"/>
          <w:szCs w:val="24"/>
        </w:rPr>
        <w:t xml:space="preserve">Ostrom, E. (2005). Understanding institutional diversity. Princeton University Press.</w:t>
      </w:r>
    </w:p>
    <w:p>
      <w:pPr>
        <w:spacing w:before="140" w:after="140" w:line="360"/>
        <w:jc w:val="both"/>
      </w:pPr>
      <w:r>
        <w:rPr>
          <w:rFonts w:ascii="Arial" w:cs="Arial" w:eastAsia="Arial" w:hAnsi="Arial"/>
          <w:sz w:val="24"/>
          <w:szCs w:val="24"/>
        </w:rPr>
        <w:t xml:space="preserve">Williamson, O. E. (1985). The economic institutions of capitalism. Free Press.</w:t>
      </w:r>
    </w:p>
    <w:p>
      <w:pPr>
        <w:spacing w:before="80" w:after="80"/>
      </w:pPr>
      <w:r>
        <w:t xml:space="preserve"/>
      </w:r>
    </w:p>
    <w:p>
      <w:pPr>
        <w:spacing w:before="80" w:after="80"/>
      </w:pPr>
      <w:r>
        <w:t xml:space="preserve"/>
      </w:r>
    </w:p>
    <w:p>
      <w:pPr>
        <w:spacing w:before="400" w:after="120"/>
        <w:jc w:val="center"/>
      </w:pPr>
      <w:r>
        <w:rPr>
          <w:rFonts w:ascii="Arial" w:cs="Arial" w:eastAsia="Arial" w:hAnsi="Arial"/>
          <w:i/>
          <w:iCs/>
          <w:color w:val="999999"/>
          <w:sz w:val="20"/>
          <w:szCs w:val="20"/>
        </w:rPr>
        <w:t xml:space="preserve">— End of Paper —</w:t>
      </w:r>
    </w:p>
    <w:sectPr>
      <w:footerReference w:type="default" r:id="rId6"/>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jc w:val="center"/>
    </w:pPr>
    <w:r>
      <w:rPr>
        <w:rFonts w:ascii="Arial" w:cs="Arial" w:eastAsia="Arial" w:hAnsi="Arial"/>
        <w:sz w:val="20"/>
        <w:szCs w:val="20"/>
      </w:rPr>
      <w:fldChar w:fldCharType="begin"/>
      <w:instrText xml:space="preserve">PAGE</w:instrText>
      <w:fldChar w:fldCharType="separate"/>
      <w:fldChar w:fldCharType="end"/>
    </w:r>
    <w:r>
      <w:rPr>
        <w:rFonts w:ascii="Arial" w:cs="Arial" w:eastAsia="Arial" w:hAnsi="Arial"/>
        <w:i/>
        <w:iCs/>
        <w:sz w:val="20"/>
        <w:szCs w:val="20"/>
      </w:rPr>
      <w:t xml:space="preserve">  |  Sparksism: A Dual-Track Systems Framework for Adaptive Political Economy</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4"/>
        <w:szCs w:val="24"/>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paragraph" w:styleId="Heading1">
    <w:name w:val="Heading 1"/>
    <w:basedOn w:val="Normal"/>
    <w:next w:val="Normal"/>
    <w:qFormat/>
    <w:pPr>
      <w:spacing w:before="400" w:after="200"/>
      <w:outlineLvl w:val="0"/>
    </w:pPr>
    <w:rPr>
      <w:rFonts w:ascii="Arial" w:cs="Arial" w:eastAsia="Arial" w:hAnsi="Arial"/>
      <w:b/>
      <w:bCs/>
      <w:color w:val="1F3864"/>
      <w:sz w:val="28"/>
      <w:szCs w:val="28"/>
    </w:rPr>
  </w:style>
  <w:style w:type="paragraph" w:styleId="Heading2">
    <w:name w:val="Heading 2"/>
    <w:basedOn w:val="Normal"/>
    <w:next w:val="Normal"/>
    <w:qFormat/>
    <w:pPr>
      <w:spacing w:before="280" w:after="140"/>
      <w:outlineLvl w:val="1"/>
    </w:pPr>
    <w:rPr>
      <w:rFonts w:ascii="Arial" w:cs="Arial" w:eastAsia="Arial" w:hAnsi="Arial"/>
      <w:b/>
      <w:bCs/>
      <w:i/>
      <w:iCs/>
      <w:color w:val="2E5090"/>
      <w:sz w:val="25"/>
      <w:szCs w:val="25"/>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footer" Target="footer1.xml"/><Relationship Id="rId7" Type="http://schemas.openxmlformats.org/officeDocument/2006/relationships/fontTable" Target="fontTable.xml"/></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2026-02-23T22:08:51.430Z</dcterms:created>
  <dcterms:modified xsi:type="dcterms:W3CDTF">2026-02-23T22:08:51.431Z</dcterms:modified>
</cp:coreProperties>
</file>

<file path=docProps/custom.xml><?xml version="1.0" encoding="utf-8"?>
<Properties xmlns="http://schemas.openxmlformats.org/officeDocument/2006/custom-properties" xmlns:vt="http://schemas.openxmlformats.org/officeDocument/2006/docPropsVTypes"/>
</file>